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Standard"/>
        <w:jc w:val="center"/>
      </w:pPr>
    </w:p>
    <w:p>
      <w:pPr>
        <w:spacing w:before="57"/>
        <w:rPr>
          <w:rFonts w:eastAsia="Times New Roman" w:cs="Arial"/>
          <w:szCs w:val="20"/>
          <w:lang w:eastAsia="fr-FR"/>
        </w:rPr>
      </w:pPr>
      <w:r>
        <w:rPr>
          <w:rFonts w:ascii="Marianne" w:eastAsia="Calibri" w:hAnsi="Marianne"/>
          <w:noProof/>
        </w:rPr>
        <w:drawing>
          <wp:anchor distT="0" distB="0" distL="114300" distR="114300" simplePos="0" relativeHeight="251661312" behindDoc="0" locked="0" layoutInCell="1" allowOverlap="1">
            <wp:simplePos x="0" y="0"/>
            <wp:positionH relativeFrom="margin">
              <wp:align>left</wp:align>
            </wp:positionH>
            <wp:positionV relativeFrom="paragraph">
              <wp:posOffset>39398</wp:posOffset>
            </wp:positionV>
            <wp:extent cx="1670400" cy="1432800"/>
            <wp:effectExtent l="0" t="0" r="0" b="0"/>
            <wp:wrapThrough wrapText="bothSides">
              <wp:wrapPolygon edited="0">
                <wp:start x="1478" y="1723"/>
                <wp:lineTo x="1478" y="19532"/>
                <wp:lineTo x="7884" y="19532"/>
                <wp:lineTo x="8377" y="18670"/>
                <wp:lineTo x="7638" y="17521"/>
                <wp:lineTo x="6406" y="16085"/>
                <wp:lineTo x="11334" y="16085"/>
                <wp:lineTo x="19711" y="13213"/>
                <wp:lineTo x="19957" y="9766"/>
                <wp:lineTo x="18972" y="8330"/>
                <wp:lineTo x="16262" y="6319"/>
                <wp:lineTo x="8377" y="1723"/>
                <wp:lineTo x="1478" y="1723"/>
              </wp:wrapPolygon>
            </wp:wrapThrough>
            <wp:docPr id="4"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1670400" cy="1432800"/>
                    </a:xfrm>
                    <a:prstGeom prst="rect">
                      <a:avLst/>
                    </a:prstGeom>
                    <a:noFill/>
                    <a:ln>
                      <a:noFill/>
                    </a:ln>
                  </pic:spPr>
                </pic:pic>
              </a:graphicData>
            </a:graphic>
            <wp14:sizeRelH relativeFrom="margin">
              <wp14:pctWidth>0</wp14:pctWidth>
            </wp14:sizeRelH>
            <wp14:sizeRelV relativeFrom="margin">
              <wp14:pctHeight>0</wp14:pctHeight>
            </wp14:sizeRelV>
          </wp:anchor>
        </w:drawing>
      </w:r>
    </w:p>
    <w:p>
      <w:pPr>
        <w:spacing w:before="57"/>
        <w:rPr>
          <w:rFonts w:eastAsia="Times New Roman" w:cs="Arial"/>
          <w:szCs w:val="20"/>
          <w:lang w:eastAsia="fr-FR"/>
        </w:rPr>
      </w:pPr>
    </w:p>
    <w:p>
      <w:pPr>
        <w:pStyle w:val="Standard"/>
        <w:rPr>
          <w:rFonts w:ascii="Arial" w:hAnsi="Arial"/>
          <w:sz w:val="22"/>
          <w:szCs w:val="22"/>
        </w:rPr>
      </w:pPr>
    </w:p>
    <w:p>
      <w:pPr>
        <w:pStyle w:val="Standard"/>
        <w:rPr>
          <w:rFonts w:ascii="Arial" w:hAnsi="Arial"/>
          <w:sz w:val="22"/>
          <w:szCs w:val="22"/>
        </w:rPr>
      </w:pPr>
      <w:r>
        <w:rPr>
          <w:rFonts w:ascii="Arial" w:hAnsi="Arial"/>
          <w:sz w:val="22"/>
          <w:szCs w:val="22"/>
        </w:rPr>
        <w:t xml:space="preserve"> </w:t>
      </w:r>
    </w:p>
    <w:p>
      <w:pPr>
        <w:pStyle w:val="Standard"/>
        <w:rPr>
          <w:rFonts w:ascii="Arial" w:hAnsi="Arial"/>
          <w:sz w:val="22"/>
          <w:szCs w:val="22"/>
        </w:rPr>
      </w:pPr>
    </w:p>
    <w:p>
      <w:pPr>
        <w:pStyle w:val="Standard"/>
        <w:rPr>
          <w:rFonts w:ascii="Arial" w:hAnsi="Arial"/>
          <w:sz w:val="22"/>
          <w:szCs w:val="22"/>
        </w:rPr>
      </w:pPr>
    </w:p>
    <w:p>
      <w:pPr>
        <w:pStyle w:val="Standard"/>
        <w:rPr>
          <w:rFonts w:ascii="Arial" w:hAnsi="Arial"/>
          <w:sz w:val="22"/>
          <w:szCs w:val="22"/>
        </w:rPr>
      </w:pPr>
    </w:p>
    <w:p>
      <w:pPr>
        <w:pStyle w:val="Standard"/>
        <w:rPr>
          <w:rFonts w:ascii="Arial" w:hAnsi="Arial"/>
          <w:sz w:val="22"/>
          <w:szCs w:val="22"/>
        </w:rPr>
      </w:pPr>
    </w:p>
    <w:p>
      <w:pPr>
        <w:pStyle w:val="Standard"/>
        <w:rPr>
          <w:rFonts w:ascii="Arial" w:hAnsi="Arial"/>
          <w:sz w:val="22"/>
          <w:szCs w:val="22"/>
        </w:rPr>
      </w:pPr>
    </w:p>
    <w:p>
      <w:pPr>
        <w:pStyle w:val="Standard"/>
        <w:rPr>
          <w:rFonts w:ascii="Arial" w:hAnsi="Arial"/>
          <w:sz w:val="22"/>
          <w:szCs w:val="22"/>
        </w:rPr>
      </w:pPr>
    </w:p>
    <w:p>
      <w:pPr>
        <w:pStyle w:val="Standard"/>
        <w:rPr>
          <w:rFonts w:ascii="Arial" w:hAnsi="Arial"/>
          <w:sz w:val="22"/>
          <w:szCs w:val="22"/>
        </w:rPr>
      </w:pPr>
    </w:p>
    <w:p>
      <w:pPr>
        <w:pStyle w:val="Standard"/>
        <w:rPr>
          <w:rFonts w:ascii="Arial" w:hAnsi="Arial"/>
          <w:sz w:val="22"/>
          <w:szCs w:val="22"/>
        </w:rPr>
      </w:pPr>
    </w:p>
    <w:tbl>
      <w:tblPr>
        <w:tblW w:w="9649" w:type="dxa"/>
        <w:tblInd w:w="60" w:type="dxa"/>
        <w:tblLayout w:type="fixed"/>
        <w:tblCellMar>
          <w:left w:w="10" w:type="dxa"/>
          <w:right w:w="10" w:type="dxa"/>
        </w:tblCellMar>
        <w:tblLook w:val="0000" w:firstRow="0" w:lastRow="0" w:firstColumn="0" w:lastColumn="0" w:noHBand="0" w:noVBand="0"/>
      </w:tblPr>
      <w:tblGrid>
        <w:gridCol w:w="9649"/>
      </w:tblGrid>
      <w:tr>
        <w:trPr>
          <w:trHeight w:val="180"/>
        </w:trPr>
        <w:tc>
          <w:tcPr>
            <w:tcW w:w="964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pPr>
              <w:pStyle w:val="Standard"/>
              <w:jc w:val="center"/>
              <w:rPr>
                <w:rFonts w:ascii="Arial" w:hAnsi="Arial" w:cs="Arial"/>
                <w:sz w:val="22"/>
                <w:szCs w:val="22"/>
              </w:rPr>
            </w:pPr>
          </w:p>
          <w:p>
            <w:pPr>
              <w:pStyle w:val="Standard"/>
              <w:jc w:val="center"/>
              <w:rPr>
                <w:rFonts w:ascii="Arial" w:hAnsi="Arial" w:cs="Arial"/>
                <w:b/>
                <w:bCs/>
              </w:rPr>
            </w:pPr>
            <w:r>
              <w:rPr>
                <w:rFonts w:ascii="Arial" w:hAnsi="Arial" w:cs="Arial"/>
                <w:b/>
                <w:bCs/>
                <w:caps/>
              </w:rPr>
              <w:t xml:space="preserve">ACCORD-CADRE </w:t>
            </w:r>
            <w:r>
              <w:rPr>
                <w:rFonts w:ascii="Arial" w:hAnsi="Arial" w:cs="Arial"/>
                <w:b/>
                <w:bCs/>
              </w:rPr>
              <w:t>RELATIF A LA FOURNITURE ET L’ACHEMINEMENT</w:t>
            </w:r>
          </w:p>
          <w:p>
            <w:pPr>
              <w:pStyle w:val="Standard"/>
              <w:jc w:val="center"/>
              <w:rPr>
                <w:rFonts w:ascii="Arial" w:hAnsi="Arial" w:cs="Arial"/>
                <w:b/>
                <w:bCs/>
                <w:caps/>
              </w:rPr>
            </w:pPr>
            <w:r>
              <w:rPr>
                <w:rFonts w:ascii="Arial" w:hAnsi="Arial" w:cs="Arial"/>
                <w:b/>
                <w:bCs/>
              </w:rPr>
              <w:t>D’ÉLECTRICITÉ ET DE GAZ NATUREL POUR LES ANNÉES 2028-2031</w:t>
            </w:r>
          </w:p>
          <w:p>
            <w:pPr>
              <w:pStyle w:val="Standard"/>
              <w:jc w:val="center"/>
              <w:rPr>
                <w:rFonts w:ascii="Arial" w:hAnsi="Arial" w:cs="Arial"/>
                <w:sz w:val="22"/>
                <w:szCs w:val="22"/>
              </w:rPr>
            </w:pPr>
          </w:p>
        </w:tc>
      </w:tr>
    </w:tbl>
    <w:p>
      <w:pPr>
        <w:pStyle w:val="Standard"/>
        <w:rPr>
          <w:rFonts w:ascii="Arial" w:hAnsi="Arial"/>
          <w:sz w:val="22"/>
          <w:szCs w:val="22"/>
        </w:rPr>
      </w:pPr>
    </w:p>
    <w:p>
      <w:pPr>
        <w:pStyle w:val="Standard"/>
        <w:rPr>
          <w:rFonts w:ascii="Arial" w:hAnsi="Arial"/>
          <w:sz w:val="22"/>
          <w:szCs w:val="22"/>
        </w:rPr>
      </w:pPr>
    </w:p>
    <w:p>
      <w:pPr>
        <w:pStyle w:val="Standard"/>
        <w:rPr>
          <w:rFonts w:ascii="Arial" w:hAnsi="Arial"/>
          <w:sz w:val="22"/>
          <w:szCs w:val="22"/>
        </w:rPr>
      </w:pPr>
    </w:p>
    <w:p>
      <w:pPr>
        <w:pStyle w:val="Standard"/>
        <w:rPr>
          <w:rFonts w:ascii="Arial" w:hAnsi="Arial"/>
          <w:sz w:val="22"/>
          <w:szCs w:val="22"/>
        </w:rPr>
      </w:pPr>
      <w:r>
        <w:rPr>
          <w:rFonts w:ascii="Arial" w:hAnsi="Arial"/>
          <w:noProof/>
          <w:sz w:val="22"/>
          <w:szCs w:val="22"/>
          <w:lang w:eastAsia="fr-FR"/>
        </w:rPr>
        <mc:AlternateContent>
          <mc:Choice Requires="wps">
            <w:drawing>
              <wp:anchor distT="0" distB="0" distL="114300" distR="114300" simplePos="0" relativeHeight="251659264" behindDoc="0" locked="0" layoutInCell="1" allowOverlap="1">
                <wp:simplePos x="0" y="0"/>
                <wp:positionH relativeFrom="column">
                  <wp:posOffset>-5080</wp:posOffset>
                </wp:positionH>
                <wp:positionV relativeFrom="paragraph">
                  <wp:posOffset>103505</wp:posOffset>
                </wp:positionV>
                <wp:extent cx="6106160" cy="847725"/>
                <wp:effectExtent l="0" t="0" r="27940" b="28575"/>
                <wp:wrapNone/>
                <wp:docPr id="3" name="Rectangle 3"/>
                <wp:cNvGraphicFramePr/>
                <a:graphic xmlns:a="http://schemas.openxmlformats.org/drawingml/2006/main">
                  <a:graphicData uri="http://schemas.microsoft.com/office/word/2010/wordprocessingShape">
                    <wps:wsp>
                      <wps:cNvSpPr/>
                      <wps:spPr>
                        <a:xfrm>
                          <a:off x="0" y="0"/>
                          <a:ext cx="6106160" cy="84772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4pt;margin-top:8.15pt;width:480.8pt;height:6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" filled="f" strokecolor="black [3213]"/>
            </w:pict>
          </mc:Fallback>
        </mc:AlternateContent>
      </w:r>
    </w:p>
    <w:p>
      <w:pPr>
        <w:pStyle w:val="Standard"/>
        <w:rPr>
          <w:rFonts w:ascii="Arial" w:hAnsi="Arial"/>
          <w:sz w:val="22"/>
          <w:szCs w:val="22"/>
        </w:rPr>
      </w:pPr>
    </w:p>
    <w:p>
      <w:pPr>
        <w:jc w:val="center"/>
        <w:rPr>
          <w:b/>
          <w:bCs/>
          <w:sz w:val="24"/>
          <w:szCs w:val="24"/>
        </w:rPr>
      </w:pPr>
      <w:r>
        <w:rPr>
          <w:rFonts w:ascii="Arial" w:hAnsi="Arial" w:cs="Arial"/>
          <w:b/>
          <w:bCs/>
          <w:caps/>
          <w:sz w:val="24"/>
          <w:szCs w:val="24"/>
        </w:rPr>
        <w:t>ANNEXE 2 AU REGLEMENT DE CONSULTATION</w:t>
      </w:r>
      <w:r>
        <w:rPr>
          <w:b/>
          <w:bCs/>
          <w:sz w:val="24"/>
          <w:szCs w:val="24"/>
        </w:rPr>
        <w:t xml:space="preserve"> </w:t>
      </w:r>
    </w:p>
    <w:p>
      <w:pPr>
        <w:spacing w:before="120"/>
        <w:jc w:val="center"/>
        <w:rPr>
          <w:rFonts w:ascii="Arial" w:hAnsi="Arial" w:cs="Arial"/>
          <w:b/>
          <w:bCs/>
          <w:sz w:val="24"/>
          <w:szCs w:val="24"/>
        </w:rPr>
      </w:pPr>
      <w:r>
        <w:rPr>
          <w:rFonts w:ascii="Arial" w:hAnsi="Arial" w:cs="Arial"/>
          <w:b/>
          <w:bCs/>
          <w:sz w:val="24"/>
          <w:szCs w:val="24"/>
        </w:rPr>
        <w:t>CADRE DE REPONSE</w:t>
      </w:r>
    </w:p>
    <w:p>
      <w:pPr>
        <w:pStyle w:val="Standard"/>
        <w:jc w:val="center"/>
        <w:rPr>
          <w:rFonts w:ascii="Arial" w:hAnsi="Arial"/>
          <w:sz w:val="22"/>
          <w:szCs w:val="22"/>
        </w:rPr>
      </w:pPr>
    </w:p>
    <w:p>
      <w:pPr>
        <w:spacing w:before="57"/>
        <w:rPr>
          <w:rFonts w:eastAsia="Times New Roman" w:cs="Arial"/>
          <w:szCs w:val="20"/>
          <w:lang w:eastAsia="fr-FR"/>
        </w:rPr>
      </w:pPr>
    </w:p>
    <w:p>
      <w:pPr>
        <w:spacing w:before="57"/>
        <w:rPr>
          <w:rFonts w:eastAsia="Times New Roman" w:cs="Arial"/>
          <w:szCs w:val="20"/>
          <w:lang w:eastAsia="fr-FR"/>
        </w:rPr>
      </w:pPr>
      <w:r>
        <w:rPr>
          <w:rFonts w:eastAsia="Times New Roman" w:cs="Arial"/>
          <w:b/>
          <w:bCs/>
          <w:szCs w:val="20"/>
          <w:lang w:eastAsia="fr-FR"/>
        </w:rPr>
        <w:t>Numéro de consultation : DAE-2025-AC-ELEC-GAZ-2028_2031</w:t>
      </w:r>
    </w:p>
    <w:p>
      <w:pPr>
        <w:spacing w:before="57"/>
        <w:rPr>
          <w:rFonts w:eastAsia="Times New Roman" w:cs="Arial"/>
          <w:szCs w:val="20"/>
          <w:lang w:eastAsia="fr-FR"/>
        </w:rPr>
      </w:pPr>
    </w:p>
    <w:p>
      <w:pPr>
        <w:spacing w:before="57"/>
        <w:rPr>
          <w:rFonts w:eastAsia="Times New Roman" w:cs="Arial"/>
          <w:szCs w:val="20"/>
          <w:lang w:eastAsia="fr-FR"/>
        </w:rPr>
      </w:pPr>
      <w:r>
        <w:rPr>
          <w:rFonts w:eastAsia="Times New Roman" w:cs="Arial"/>
          <w:b/>
          <w:bCs/>
          <w:szCs w:val="20"/>
          <w:lang w:eastAsia="fr-FR"/>
        </w:rPr>
        <w:t>Procédure de passation :</w:t>
      </w:r>
      <w:r>
        <w:rPr>
          <w:rFonts w:eastAsia="Times New Roman" w:cs="Arial"/>
          <w:szCs w:val="20"/>
          <w:lang w:eastAsia="fr-FR"/>
        </w:rPr>
        <w:t xml:space="preserve"> Appel d’offres restreint </w:t>
      </w:r>
    </w:p>
    <w:p>
      <w:pPr>
        <w:spacing w:before="57"/>
        <w:rPr>
          <w:rFonts w:eastAsia="Times New Roman" w:cs="Arial"/>
          <w:szCs w:val="20"/>
          <w:lang w:eastAsia="fr-FR"/>
        </w:rPr>
      </w:pPr>
    </w:p>
    <w:p>
      <w:pPr>
        <w:jc w:val="center"/>
        <w:rPr>
          <w:b/>
          <w:bCs/>
          <w:sz w:val="26"/>
          <w:szCs w:val="26"/>
        </w:rPr>
      </w:pPr>
    </w:p>
    <w:p>
      <w:pPr>
        <w:pStyle w:val="Titre1"/>
      </w:pPr>
      <w:r>
        <w:t>A remplir par les soumissionnaires</w:t>
      </w:r>
    </w:p>
    <w:p>
      <w:pPr>
        <w:jc w:val="center"/>
        <w:rPr>
          <w:rFonts w:eastAsia="Times New Roman" w:cs="Calibri"/>
          <w:lang w:eastAsia="fr-FR"/>
        </w:rPr>
      </w:pPr>
    </w:p>
    <w:p>
      <w:pPr>
        <w:pStyle w:val="Corpsdetexte2"/>
      </w:pPr>
      <w:r>
        <w:t>Les soumissionnaires doivent compléter ce cadre de réponse afin que l’acheteur puisse évaluer les critères prix, technique et environnemental de l’accord-cadre.</w:t>
      </w:r>
    </w:p>
    <w:p>
      <w:pPr>
        <w:pStyle w:val="Corpsdetexte2"/>
      </w:pPr>
    </w:p>
    <w:p>
      <w:pPr>
        <w:pStyle w:val="Corpsdetexte2"/>
      </w:pPr>
      <w:r>
        <w:t xml:space="preserve">Le cadre de réponse doit être joint à l’offre sous format .doc, .docx </w:t>
      </w:r>
      <w:proofErr w:type="gramStart"/>
      <w:r>
        <w:t>ou</w:t>
      </w:r>
      <w:proofErr w:type="gramEnd"/>
      <w:r>
        <w:t xml:space="preserve"> .</w:t>
      </w:r>
      <w:proofErr w:type="spellStart"/>
      <w:r>
        <w:t>pdf</w:t>
      </w:r>
      <w:proofErr w:type="spellEnd"/>
      <w:r>
        <w:t xml:space="preserve"> (non scanné).</w:t>
      </w:r>
    </w:p>
    <w:p>
      <w:pPr>
        <w:rPr>
          <w:rFonts w:eastAsia="Times New Roman" w:cs="Calibri"/>
          <w:lang w:eastAsia="fr-FR"/>
        </w:rPr>
      </w:pPr>
      <w:r>
        <w:rPr>
          <w:rFonts w:eastAsia="Times New Roman" w:cs="Calibri"/>
          <w:lang w:eastAsia="fr-FR"/>
        </w:rPr>
        <w:t xml:space="preserve">La </w:t>
      </w:r>
      <w:bookmarkStart w:id="0" w:name="_Hlk207268382"/>
      <w:r>
        <w:rPr>
          <w:rFonts w:eastAsia="Times New Roman" w:cs="Calibri"/>
          <w:lang w:eastAsia="fr-FR"/>
        </w:rPr>
        <w:t>police d’écriture sera « Arial » de taille 10.</w:t>
      </w:r>
      <w:bookmarkEnd w:id="0"/>
    </w:p>
    <w:p>
      <w:pPr>
        <w:spacing w:before="120" w:after="120"/>
        <w:rPr>
          <w:rFonts w:eastAsia="Times New Roman" w:cs="Calibri"/>
          <w:lang w:eastAsia="fr-FR"/>
        </w:rPr>
      </w:pPr>
      <w:r>
        <w:rPr>
          <w:rFonts w:eastAsia="Times New Roman" w:cs="Calibri"/>
          <w:lang w:eastAsia="fr-FR"/>
        </w:rPr>
        <w:t>Le nombre de pages maximum est fixé à 35 pages hors annexes.</w:t>
      </w:r>
    </w:p>
    <w:p>
      <w:pPr>
        <w:rPr>
          <w:rFonts w:eastAsia="Times New Roman" w:cs="Calibri"/>
          <w:lang w:eastAsia="fr-FR"/>
        </w:rPr>
      </w:pPr>
      <w:r>
        <w:rPr>
          <w:rFonts w:eastAsia="Times New Roman" w:cs="Calibri"/>
          <w:lang w:eastAsia="fr-FR"/>
        </w:rPr>
        <w:t>Aucune page au-delà des limites imposées ne sera analysée.</w:t>
      </w:r>
    </w:p>
    <w:p>
      <w:pPr>
        <w:rPr>
          <w:rFonts w:eastAsia="Times New Roman" w:cs="Calibri"/>
          <w:lang w:eastAsia="fr-FR"/>
        </w:rPr>
      </w:pPr>
    </w:p>
    <w:p>
      <w:pPr>
        <w:rPr>
          <w:rFonts w:eastAsia="Times New Roman" w:cs="Calibri"/>
          <w:lang w:eastAsia="fr-FR"/>
        </w:rPr>
      </w:pPr>
      <w:r>
        <w:rPr>
          <w:rFonts w:eastAsia="Times New Roman" w:cs="Calibri"/>
          <w:lang w:eastAsia="fr-FR"/>
        </w:rPr>
        <w:t>Seules les annexes autorisées mentionnées en dernière page du présent document seront analysées.</w:t>
      </w:r>
    </w:p>
    <w:p>
      <w:pPr>
        <w:rPr>
          <w:rFonts w:eastAsia="Times New Roman" w:cs="Calibri"/>
          <w:lang w:eastAsia="fr-FR"/>
        </w:rPr>
      </w:pPr>
    </w:p>
    <w:p>
      <w:pPr>
        <w:spacing w:before="120" w:line="252" w:lineRule="auto"/>
        <w:jc w:val="both"/>
      </w:pPr>
      <w:r>
        <w:t>L’acheteur autorise les candidats à remettre un mémoire en lieu et place du cadre de réponse sous réserve de respecter l’ordre des critères et sous-critères du cadre de réponse et les modalités de réponse mentionnées ci-dessus</w:t>
      </w:r>
      <w:r>
        <w:rPr>
          <w:rFonts w:eastAsia="Times New Roman" w:cs="Calibri"/>
          <w:lang w:eastAsia="fr-FR"/>
        </w:rPr>
        <w:t>.</w:t>
      </w:r>
    </w:p>
    <w:p>
      <w:pPr>
        <w:rPr>
          <w:rFonts w:eastAsia="Times New Roman" w:cs="Calibri"/>
          <w:lang w:eastAsia="fr-FR"/>
        </w:rPr>
      </w:pPr>
    </w:p>
    <w:p>
      <w:pPr>
        <w:rPr>
          <w:rFonts w:eastAsia="Times New Roman" w:cs="Calibri"/>
          <w:lang w:eastAsia="fr-FR"/>
        </w:rPr>
      </w:pPr>
    </w:p>
    <w:p>
      <w:pPr>
        <w:rPr>
          <w:rFonts w:eastAsia="Times New Roman" w:cs="Calibri"/>
          <w:lang w:eastAsia="fr-FR"/>
        </w:rPr>
      </w:pPr>
    </w:p>
    <w:p>
      <w:pPr>
        <w:rPr>
          <w:rFonts w:eastAsia="Times New Roman" w:cs="Calibri"/>
          <w:lang w:eastAsia="fr-FR"/>
        </w:rPr>
      </w:pPr>
    </w:p>
    <w:p>
      <w:pPr>
        <w:rPr>
          <w:rFonts w:eastAsia="Times New Roman" w:cs="Calibri"/>
          <w:lang w:eastAsia="fr-FR"/>
        </w:rPr>
      </w:pPr>
    </w:p>
    <w:p>
      <w:pPr>
        <w:pStyle w:val="NormalWeb"/>
        <w:spacing w:before="0" w:after="0"/>
        <w:rPr>
          <w:rFonts w:ascii="Arial" w:hAnsi="Arial" w:cs="Arial"/>
          <w:b/>
          <w:bCs/>
          <w:sz w:val="21"/>
          <w:szCs w:val="21"/>
        </w:rPr>
      </w:pPr>
    </w:p>
    <w:tbl>
      <w:tblPr>
        <w:tblStyle w:val="Grilledutableau"/>
        <w:tblW w:w="9924" w:type="dxa"/>
        <w:tblInd w:w="-431" w:type="dxa"/>
        <w:tblLook w:val="04A0" w:firstRow="1" w:lastRow="0" w:firstColumn="1" w:lastColumn="0" w:noHBand="0" w:noVBand="1"/>
      </w:tblPr>
      <w:tblGrid>
        <w:gridCol w:w="4112"/>
        <w:gridCol w:w="5812"/>
      </w:tblGrid>
      <w:tr>
        <w:trPr>
          <w:trHeight w:val="397"/>
        </w:trPr>
        <w:tc>
          <w:tcPr>
            <w:tcW w:w="4112" w:type="dxa"/>
            <w:vAlign w:val="center"/>
          </w:tcPr>
          <w:p>
            <w:pPr>
              <w:pStyle w:val="NormalWeb"/>
              <w:spacing w:before="0" w:after="0"/>
              <w:ind w:left="29"/>
              <w:rPr>
                <w:rFonts w:ascii="Arial" w:hAnsi="Arial" w:cs="Arial"/>
                <w:b/>
                <w:bCs/>
                <w:sz w:val="20"/>
                <w:szCs w:val="20"/>
              </w:rPr>
            </w:pPr>
            <w:r>
              <w:rPr>
                <w:rFonts w:ascii="Arial" w:hAnsi="Arial" w:cs="Arial"/>
                <w:b/>
                <w:bCs/>
                <w:sz w:val="20"/>
                <w:szCs w:val="20"/>
              </w:rPr>
              <w:lastRenderedPageBreak/>
              <w:t>Société :</w:t>
            </w:r>
          </w:p>
        </w:tc>
        <w:tc>
          <w:tcPr>
            <w:tcW w:w="5812" w:type="dxa"/>
            <w:shd w:val="clear" w:color="auto" w:fill="EAF1DD" w:themeFill="accent3" w:themeFillTint="33"/>
            <w:vAlign w:val="center"/>
          </w:tcPr>
          <w:p>
            <w:pPr>
              <w:pStyle w:val="NormalWeb"/>
              <w:spacing w:before="0" w:after="0"/>
              <w:rPr>
                <w:rFonts w:ascii="Arial Gras" w:hAnsi="Arial Gras" w:cs="Arial" w:hint="eastAsia"/>
                <w:b/>
                <w:bCs/>
                <w:sz w:val="21"/>
                <w:szCs w:val="21"/>
              </w:rPr>
            </w:pPr>
          </w:p>
        </w:tc>
      </w:tr>
      <w:tr>
        <w:trPr>
          <w:trHeight w:val="397"/>
        </w:trPr>
        <w:tc>
          <w:tcPr>
            <w:tcW w:w="4112" w:type="dxa"/>
            <w:vAlign w:val="center"/>
          </w:tcPr>
          <w:p>
            <w:pPr>
              <w:pStyle w:val="NormalWeb"/>
              <w:spacing w:before="0" w:after="0"/>
              <w:rPr>
                <w:rFonts w:ascii="Arial" w:hAnsi="Arial" w:cs="Arial"/>
                <w:b/>
                <w:bCs/>
                <w:sz w:val="20"/>
                <w:szCs w:val="20"/>
              </w:rPr>
            </w:pPr>
            <w:r>
              <w:rPr>
                <w:rFonts w:ascii="Arial" w:hAnsi="Arial" w:cs="Arial"/>
                <w:b/>
                <w:bCs/>
                <w:sz w:val="20"/>
                <w:szCs w:val="20"/>
              </w:rPr>
              <w:t>Personne en charge de l’exécution :</w:t>
            </w:r>
          </w:p>
        </w:tc>
        <w:tc>
          <w:tcPr>
            <w:tcW w:w="5812" w:type="dxa"/>
            <w:shd w:val="clear" w:color="auto" w:fill="EAF1DD" w:themeFill="accent3" w:themeFillTint="33"/>
            <w:vAlign w:val="center"/>
          </w:tcPr>
          <w:p>
            <w:pPr>
              <w:pStyle w:val="NormalWeb"/>
              <w:spacing w:before="0" w:after="0"/>
              <w:rPr>
                <w:rFonts w:ascii="Arial Gras" w:hAnsi="Arial Gras" w:cs="Arial" w:hint="eastAsia"/>
                <w:b/>
                <w:bCs/>
                <w:sz w:val="21"/>
                <w:szCs w:val="21"/>
              </w:rPr>
            </w:pPr>
          </w:p>
        </w:tc>
      </w:tr>
      <w:tr>
        <w:trPr>
          <w:trHeight w:val="397"/>
        </w:trPr>
        <w:tc>
          <w:tcPr>
            <w:tcW w:w="4112" w:type="dxa"/>
            <w:vAlign w:val="center"/>
          </w:tcPr>
          <w:p>
            <w:pPr>
              <w:pStyle w:val="NormalWeb"/>
              <w:numPr>
                <w:ilvl w:val="0"/>
                <w:numId w:val="12"/>
              </w:numPr>
              <w:spacing w:before="0" w:after="0"/>
              <w:rPr>
                <w:rFonts w:ascii="Arial" w:hAnsi="Arial" w:cs="Arial"/>
                <w:b/>
                <w:bCs/>
                <w:sz w:val="20"/>
                <w:szCs w:val="20"/>
              </w:rPr>
            </w:pPr>
            <w:r>
              <w:rPr>
                <w:rFonts w:ascii="Arial" w:hAnsi="Arial" w:cs="Arial"/>
                <w:b/>
                <w:bCs/>
                <w:sz w:val="20"/>
                <w:szCs w:val="20"/>
              </w:rPr>
              <w:t>E-mail :</w:t>
            </w:r>
          </w:p>
        </w:tc>
        <w:tc>
          <w:tcPr>
            <w:tcW w:w="5812" w:type="dxa"/>
            <w:shd w:val="clear" w:color="auto" w:fill="EAF1DD" w:themeFill="accent3" w:themeFillTint="33"/>
            <w:vAlign w:val="center"/>
          </w:tcPr>
          <w:p>
            <w:pPr>
              <w:pStyle w:val="NormalWeb"/>
              <w:spacing w:before="0" w:after="0"/>
              <w:rPr>
                <w:rFonts w:ascii="Arial Gras" w:hAnsi="Arial Gras" w:cs="Arial" w:hint="eastAsia"/>
                <w:b/>
                <w:bCs/>
                <w:sz w:val="21"/>
                <w:szCs w:val="21"/>
              </w:rPr>
            </w:pPr>
          </w:p>
        </w:tc>
      </w:tr>
      <w:tr>
        <w:trPr>
          <w:trHeight w:val="397"/>
        </w:trPr>
        <w:tc>
          <w:tcPr>
            <w:tcW w:w="4112" w:type="dxa"/>
            <w:vAlign w:val="center"/>
          </w:tcPr>
          <w:p>
            <w:pPr>
              <w:pStyle w:val="NormalWeb"/>
              <w:numPr>
                <w:ilvl w:val="0"/>
                <w:numId w:val="12"/>
              </w:numPr>
              <w:spacing w:before="0" w:after="0"/>
              <w:rPr>
                <w:rFonts w:ascii="Arial" w:hAnsi="Arial" w:cs="Arial"/>
                <w:b/>
                <w:bCs/>
                <w:sz w:val="20"/>
                <w:szCs w:val="20"/>
              </w:rPr>
            </w:pPr>
            <w:r>
              <w:rPr>
                <w:rFonts w:ascii="Arial" w:hAnsi="Arial" w:cs="Arial"/>
                <w:b/>
                <w:bCs/>
                <w:sz w:val="20"/>
                <w:szCs w:val="20"/>
              </w:rPr>
              <w:t>Tél. bureau / portable :</w:t>
            </w:r>
          </w:p>
        </w:tc>
        <w:tc>
          <w:tcPr>
            <w:tcW w:w="5812" w:type="dxa"/>
            <w:shd w:val="clear" w:color="auto" w:fill="EAF1DD" w:themeFill="accent3" w:themeFillTint="33"/>
            <w:vAlign w:val="center"/>
          </w:tcPr>
          <w:p>
            <w:pPr>
              <w:pStyle w:val="NormalWeb"/>
              <w:spacing w:before="0" w:after="0"/>
              <w:rPr>
                <w:rFonts w:ascii="Arial Gras" w:hAnsi="Arial Gras" w:cs="Arial" w:hint="eastAsia"/>
                <w:b/>
                <w:bCs/>
                <w:sz w:val="21"/>
                <w:szCs w:val="21"/>
              </w:rPr>
            </w:pPr>
          </w:p>
        </w:tc>
      </w:tr>
    </w:tbl>
    <w:p>
      <w:pPr>
        <w:pStyle w:val="NormalWeb"/>
        <w:spacing w:before="0" w:after="120"/>
        <w:rPr>
          <w:rFonts w:ascii="Arial" w:hAnsi="Arial" w:cs="Arial"/>
          <w:b/>
          <w:bCs/>
          <w:sz w:val="21"/>
          <w:szCs w:val="21"/>
        </w:rPr>
      </w:pPr>
    </w:p>
    <w:tbl>
      <w:tblPr>
        <w:tblStyle w:val="Grilledutableau"/>
        <w:tblW w:w="9927" w:type="dxa"/>
        <w:jc w:val="center"/>
        <w:tblLayout w:type="fixed"/>
        <w:tblLook w:val="04A0" w:firstRow="1" w:lastRow="0" w:firstColumn="1" w:lastColumn="0" w:noHBand="0" w:noVBand="1"/>
      </w:tblPr>
      <w:tblGrid>
        <w:gridCol w:w="4106"/>
        <w:gridCol w:w="5821"/>
      </w:tblGrid>
      <w:tr>
        <w:trPr>
          <w:trHeight w:val="454"/>
          <w:tblHeader/>
          <w:jc w:val="center"/>
        </w:trPr>
        <w:tc>
          <w:tcPr>
            <w:tcW w:w="4106" w:type="dxa"/>
            <w:shd w:val="clear" w:color="auto" w:fill="A6A6A6" w:themeFill="background1" w:themeFillShade="A6"/>
            <w:vAlign w:val="center"/>
          </w:tcPr>
          <w:p>
            <w:pPr>
              <w:rPr>
                <w:rFonts w:ascii="Arial" w:hAnsi="Arial" w:cs="Arial"/>
                <w:b/>
                <w:bCs/>
                <w:sz w:val="21"/>
                <w:szCs w:val="21"/>
              </w:rPr>
            </w:pPr>
            <w:r>
              <w:rPr>
                <w:rFonts w:ascii="Arial" w:hAnsi="Arial" w:cs="Arial"/>
                <w:b/>
                <w:bCs/>
                <w:sz w:val="21"/>
                <w:szCs w:val="21"/>
              </w:rPr>
              <w:t>Points à expliciter</w:t>
            </w:r>
          </w:p>
        </w:tc>
        <w:tc>
          <w:tcPr>
            <w:tcW w:w="5821" w:type="dxa"/>
            <w:shd w:val="clear" w:color="auto" w:fill="A6A6A6" w:themeFill="background1" w:themeFillShade="A6"/>
            <w:vAlign w:val="center"/>
          </w:tcPr>
          <w:p>
            <w:pPr>
              <w:jc w:val="center"/>
              <w:rPr>
                <w:rFonts w:ascii="Arial" w:hAnsi="Arial" w:cs="Arial"/>
                <w:b/>
                <w:bCs/>
                <w:i/>
                <w:sz w:val="21"/>
                <w:szCs w:val="21"/>
              </w:rPr>
            </w:pPr>
            <w:r>
              <w:rPr>
                <w:rFonts w:ascii="Arial" w:hAnsi="Arial" w:cs="Arial"/>
                <w:b/>
                <w:bCs/>
                <w:sz w:val="21"/>
                <w:szCs w:val="21"/>
              </w:rPr>
              <w:t>Réponses du candidat</w:t>
            </w:r>
          </w:p>
        </w:tc>
      </w:tr>
      <w:tr>
        <w:trPr>
          <w:trHeight w:val="454"/>
          <w:jc w:val="center"/>
        </w:trPr>
        <w:tc>
          <w:tcPr>
            <w:tcW w:w="9927" w:type="dxa"/>
            <w:gridSpan w:val="2"/>
            <w:shd w:val="clear" w:color="auto" w:fill="B8CCE4" w:themeFill="accent1" w:themeFillTint="66"/>
            <w:vAlign w:val="center"/>
          </w:tcPr>
          <w:p>
            <w:pPr>
              <w:pStyle w:val="NormalWeb"/>
              <w:spacing w:before="0" w:after="0"/>
              <w:rPr>
                <w:rFonts w:ascii="Arial" w:eastAsia="Times New Roman" w:hAnsi="Arial" w:cs="Arial"/>
                <w:b/>
                <w:kern w:val="0"/>
                <w:sz w:val="21"/>
                <w:szCs w:val="21"/>
                <w:lang w:eastAsia="fr-FR"/>
              </w:rPr>
            </w:pPr>
            <w:r>
              <w:rPr>
                <w:rFonts w:ascii="Arial" w:eastAsia="Times New Roman" w:hAnsi="Arial" w:cs="Arial"/>
                <w:b/>
                <w:kern w:val="0"/>
                <w:sz w:val="21"/>
                <w:szCs w:val="21"/>
                <w:lang w:eastAsia="fr-FR"/>
              </w:rPr>
              <w:t>Critère valeur technique</w:t>
            </w:r>
          </w:p>
        </w:tc>
      </w:tr>
      <w:tr>
        <w:trPr>
          <w:trHeight w:val="454"/>
          <w:jc w:val="center"/>
        </w:trPr>
        <w:tc>
          <w:tcPr>
            <w:tcW w:w="9927" w:type="dxa"/>
            <w:gridSpan w:val="2"/>
            <w:shd w:val="clear" w:color="auto" w:fill="D9D9D9" w:themeFill="background1" w:themeFillShade="D9"/>
            <w:vAlign w:val="center"/>
          </w:tcPr>
          <w:p>
            <w:pPr>
              <w:pStyle w:val="NormalWeb"/>
              <w:spacing w:before="0" w:after="0"/>
              <w:rPr>
                <w:rFonts w:ascii="Arial" w:hAnsi="Arial" w:cs="Arial"/>
                <w:b/>
                <w:bCs/>
                <w:sz w:val="21"/>
                <w:szCs w:val="21"/>
              </w:rPr>
            </w:pPr>
            <w:r>
              <w:rPr>
                <w:rFonts w:ascii="Arial" w:eastAsia="Times New Roman" w:hAnsi="Arial" w:cs="Arial"/>
                <w:b/>
                <w:kern w:val="0"/>
                <w:sz w:val="21"/>
                <w:szCs w:val="21"/>
                <w:lang w:eastAsia="fr-FR"/>
              </w:rPr>
              <w:t>M</w:t>
            </w:r>
            <w:r>
              <w:rPr>
                <w:rFonts w:ascii="Arial" w:hAnsi="Arial" w:cs="Arial"/>
                <w:b/>
                <w:sz w:val="21"/>
                <w:szCs w:val="21"/>
              </w:rPr>
              <w:t>odalités d’exécution des prestations préalables à la fourniture</w:t>
            </w:r>
          </w:p>
        </w:tc>
      </w:tr>
      <w:tr>
        <w:trPr>
          <w:trHeight w:val="1417"/>
          <w:jc w:val="center"/>
        </w:trPr>
        <w:tc>
          <w:tcPr>
            <w:tcW w:w="4106" w:type="dxa"/>
            <w:vAlign w:val="center"/>
          </w:tcPr>
          <w:p>
            <w:pPr>
              <w:rPr>
                <w:rFonts w:ascii="Arial" w:eastAsia="Times New Roman" w:hAnsi="Arial" w:cs="Arial"/>
                <w:sz w:val="20"/>
              </w:rPr>
            </w:pPr>
            <w:r>
              <w:rPr>
                <w:rFonts w:ascii="Arial" w:eastAsia="Times New Roman" w:hAnsi="Arial" w:cs="Arial"/>
                <w:sz w:val="20"/>
              </w:rPr>
              <w:t>Informations nécessaires pour le traitement et la reprise des données techniques et de facturation</w:t>
            </w:r>
          </w:p>
        </w:tc>
        <w:tc>
          <w:tcPr>
            <w:tcW w:w="5821" w:type="dxa"/>
            <w:shd w:val="clear" w:color="auto" w:fill="EAF1DD" w:themeFill="accent3" w:themeFillTint="33"/>
            <w:vAlign w:val="center"/>
          </w:tcPr>
          <w:p>
            <w:pPr>
              <w:rPr>
                <w:rFonts w:ascii="Arial" w:hAnsi="Arial" w:cs="Arial"/>
                <w:bCs/>
              </w:rPr>
            </w:pPr>
          </w:p>
        </w:tc>
      </w:tr>
      <w:tr>
        <w:trPr>
          <w:trHeight w:val="1417"/>
          <w:jc w:val="center"/>
        </w:trPr>
        <w:tc>
          <w:tcPr>
            <w:tcW w:w="4106" w:type="dxa"/>
            <w:vAlign w:val="center"/>
          </w:tcPr>
          <w:p>
            <w:pPr>
              <w:rPr>
                <w:rFonts w:ascii="Arial" w:eastAsia="Times New Roman" w:hAnsi="Arial" w:cs="Arial"/>
                <w:sz w:val="20"/>
              </w:rPr>
            </w:pPr>
            <w:r>
              <w:rPr>
                <w:rFonts w:ascii="Arial" w:eastAsia="Times New Roman" w:hAnsi="Arial" w:cs="Arial"/>
                <w:sz w:val="20"/>
              </w:rPr>
              <w:t>Description des démarches à réaliser auprès du gestionnaire du réseau de transport ou de distribution et délais associés</w:t>
            </w:r>
          </w:p>
        </w:tc>
        <w:tc>
          <w:tcPr>
            <w:tcW w:w="5821" w:type="dxa"/>
            <w:shd w:val="clear" w:color="auto" w:fill="EAF1DD" w:themeFill="accent3" w:themeFillTint="33"/>
            <w:vAlign w:val="center"/>
          </w:tcPr>
          <w:p>
            <w:pPr>
              <w:rPr>
                <w:rFonts w:ascii="Arial" w:hAnsi="Arial" w:cs="Arial"/>
                <w:bCs/>
              </w:rPr>
            </w:pPr>
          </w:p>
        </w:tc>
      </w:tr>
      <w:tr>
        <w:trPr>
          <w:trHeight w:val="1417"/>
          <w:jc w:val="center"/>
        </w:trPr>
        <w:tc>
          <w:tcPr>
            <w:tcW w:w="4106" w:type="dxa"/>
            <w:vAlign w:val="center"/>
          </w:tcPr>
          <w:p>
            <w:pPr>
              <w:rPr>
                <w:rFonts w:ascii="Arial" w:eastAsia="Times New Roman" w:hAnsi="Arial" w:cs="Arial"/>
                <w:sz w:val="20"/>
              </w:rPr>
            </w:pPr>
            <w:r>
              <w:rPr>
                <w:rFonts w:ascii="Arial" w:eastAsia="Times New Roman" w:hAnsi="Arial" w:cs="Arial"/>
                <w:sz w:val="20"/>
              </w:rPr>
              <w:t>Démarches réalisées par le candidat (service de facturation, relation clientèle) pour la reprise des contrats étape par étape en précisant les délais associés</w:t>
            </w:r>
          </w:p>
        </w:tc>
        <w:tc>
          <w:tcPr>
            <w:tcW w:w="5821" w:type="dxa"/>
            <w:shd w:val="clear" w:color="auto" w:fill="EAF1DD" w:themeFill="accent3" w:themeFillTint="33"/>
            <w:vAlign w:val="center"/>
          </w:tcPr>
          <w:p>
            <w:pPr>
              <w:rPr>
                <w:rFonts w:ascii="Arial" w:hAnsi="Arial" w:cs="Arial"/>
                <w:bCs/>
              </w:rPr>
            </w:pPr>
          </w:p>
        </w:tc>
      </w:tr>
      <w:tr>
        <w:trPr>
          <w:trHeight w:val="950"/>
          <w:jc w:val="center"/>
        </w:trPr>
        <w:tc>
          <w:tcPr>
            <w:tcW w:w="4106" w:type="dxa"/>
            <w:vAlign w:val="center"/>
          </w:tcPr>
          <w:p>
            <w:pPr>
              <w:rPr>
                <w:rFonts w:ascii="Arial" w:eastAsia="Times New Roman" w:hAnsi="Arial" w:cs="Arial"/>
                <w:sz w:val="20"/>
              </w:rPr>
            </w:pPr>
          </w:p>
          <w:p>
            <w:pPr>
              <w:rPr>
                <w:rFonts w:ascii="Arial" w:eastAsia="Times New Roman" w:hAnsi="Arial" w:cs="Arial"/>
                <w:sz w:val="20"/>
              </w:rPr>
            </w:pPr>
            <w:r>
              <w:rPr>
                <w:rFonts w:ascii="Arial" w:eastAsia="Times New Roman" w:hAnsi="Arial" w:cs="Arial"/>
                <w:sz w:val="20"/>
              </w:rPr>
              <w:t>Présentation des moyens mis en œuvre pour l’ensemble des opérations (démarches auprès des GRD, mise en production / mise en facturation des contrats en tenant compte des regroupements de PDL indiqués dans les bons de commande, relation clientèle)</w:t>
            </w:r>
          </w:p>
          <w:p>
            <w:pPr>
              <w:rPr>
                <w:rFonts w:ascii="Arial" w:eastAsia="Times New Roman" w:hAnsi="Arial" w:cs="Arial"/>
                <w:sz w:val="20"/>
              </w:rPr>
            </w:pPr>
          </w:p>
        </w:tc>
        <w:tc>
          <w:tcPr>
            <w:tcW w:w="5821" w:type="dxa"/>
            <w:shd w:val="clear" w:color="auto" w:fill="EAF1DD" w:themeFill="accent3" w:themeFillTint="33"/>
            <w:vAlign w:val="center"/>
          </w:tcPr>
          <w:p>
            <w:pPr>
              <w:rPr>
                <w:rFonts w:ascii="Arial" w:hAnsi="Arial" w:cs="Arial"/>
                <w:bCs/>
              </w:rPr>
            </w:pPr>
          </w:p>
        </w:tc>
      </w:tr>
      <w:tr>
        <w:trPr>
          <w:trHeight w:val="1172"/>
          <w:jc w:val="center"/>
        </w:trPr>
        <w:tc>
          <w:tcPr>
            <w:tcW w:w="4106" w:type="dxa"/>
            <w:vAlign w:val="center"/>
          </w:tcPr>
          <w:p>
            <w:pPr>
              <w:rPr>
                <w:rFonts w:ascii="Arial" w:eastAsia="Times New Roman" w:hAnsi="Arial" w:cs="Arial"/>
                <w:sz w:val="20"/>
              </w:rPr>
            </w:pPr>
            <w:r>
              <w:rPr>
                <w:rFonts w:ascii="Arial" w:eastAsia="Times New Roman" w:hAnsi="Arial" w:cs="Arial"/>
                <w:sz w:val="20"/>
              </w:rPr>
              <w:t>Planning-type détaillé des opérations préalables à la bascule (jalons, livrables, étapes de validation) à joindre en annexe.</w:t>
            </w:r>
          </w:p>
        </w:tc>
        <w:tc>
          <w:tcPr>
            <w:tcW w:w="5821" w:type="dxa"/>
            <w:shd w:val="clear" w:color="auto" w:fill="EAF1DD" w:themeFill="accent3" w:themeFillTint="33"/>
            <w:vAlign w:val="center"/>
          </w:tcPr>
          <w:p>
            <w:pPr>
              <w:rPr>
                <w:rFonts w:ascii="Arial" w:hAnsi="Arial" w:cs="Arial"/>
                <w:bCs/>
              </w:rPr>
            </w:pPr>
          </w:p>
        </w:tc>
      </w:tr>
      <w:tr>
        <w:trPr>
          <w:trHeight w:val="454"/>
          <w:jc w:val="center"/>
        </w:trPr>
        <w:tc>
          <w:tcPr>
            <w:tcW w:w="9927" w:type="dxa"/>
            <w:gridSpan w:val="2"/>
            <w:shd w:val="clear" w:color="auto" w:fill="D9D9D9" w:themeFill="background1" w:themeFillShade="D9"/>
            <w:vAlign w:val="center"/>
          </w:tcPr>
          <w:p>
            <w:pPr>
              <w:pStyle w:val="NormalWeb"/>
              <w:spacing w:before="0" w:after="0"/>
              <w:rPr>
                <w:rFonts w:ascii="Arial" w:hAnsi="Arial" w:cs="Arial"/>
                <w:b/>
                <w:sz w:val="21"/>
                <w:szCs w:val="21"/>
              </w:rPr>
            </w:pPr>
            <w:r>
              <w:rPr>
                <w:rFonts w:ascii="Arial" w:hAnsi="Arial" w:cs="Arial"/>
                <w:b/>
                <w:sz w:val="21"/>
                <w:szCs w:val="21"/>
              </w:rPr>
              <w:t xml:space="preserve">Facturation et modalités de facturation et paiement </w:t>
            </w:r>
          </w:p>
        </w:tc>
      </w:tr>
      <w:tr>
        <w:trPr>
          <w:trHeight w:val="1628"/>
          <w:jc w:val="center"/>
        </w:trPr>
        <w:tc>
          <w:tcPr>
            <w:tcW w:w="4106" w:type="dxa"/>
            <w:vAlign w:val="center"/>
          </w:tcPr>
          <w:p>
            <w:pPr>
              <w:rPr>
                <w:rFonts w:ascii="Arial" w:eastAsia="Times New Roman" w:hAnsi="Arial" w:cs="Arial"/>
                <w:sz w:val="20"/>
              </w:rPr>
            </w:pPr>
            <w:r>
              <w:rPr>
                <w:rFonts w:ascii="Arial" w:eastAsia="Times New Roman" w:hAnsi="Arial" w:cs="Arial"/>
                <w:sz w:val="20"/>
              </w:rPr>
              <w:t>Modèle de facture (et son annexe) concernant un unique point de livraison dématérialisée visualisable sur l’espace client (à placer en annexe).</w:t>
            </w:r>
          </w:p>
          <w:p>
            <w:pPr>
              <w:rPr>
                <w:rFonts w:ascii="Arial" w:eastAsia="Times New Roman" w:hAnsi="Arial" w:cs="Arial"/>
                <w:sz w:val="20"/>
              </w:rPr>
            </w:pPr>
            <w:r>
              <w:rPr>
                <w:rFonts w:ascii="Arial" w:eastAsia="Times New Roman" w:hAnsi="Arial" w:cs="Arial"/>
                <w:sz w:val="20"/>
              </w:rPr>
              <w:t xml:space="preserve">Seront appréciées sa lisibilité, sa complétude et sa conformité au CCP, </w:t>
            </w:r>
          </w:p>
        </w:tc>
        <w:tc>
          <w:tcPr>
            <w:tcW w:w="5821" w:type="dxa"/>
            <w:shd w:val="clear" w:color="auto" w:fill="EAF1DD" w:themeFill="accent3" w:themeFillTint="33"/>
            <w:vAlign w:val="center"/>
          </w:tcPr>
          <w:p>
            <w:pPr>
              <w:rPr>
                <w:rFonts w:ascii="Arial" w:hAnsi="Arial" w:cs="Arial"/>
                <w:bCs/>
              </w:rPr>
            </w:pPr>
          </w:p>
        </w:tc>
      </w:tr>
      <w:tr>
        <w:trPr>
          <w:trHeight w:val="1417"/>
          <w:jc w:val="center"/>
        </w:trPr>
        <w:tc>
          <w:tcPr>
            <w:tcW w:w="4106" w:type="dxa"/>
            <w:vAlign w:val="center"/>
          </w:tcPr>
          <w:p>
            <w:pPr>
              <w:rPr>
                <w:rFonts w:ascii="Arial" w:eastAsia="Times New Roman" w:hAnsi="Arial" w:cs="Arial"/>
                <w:sz w:val="20"/>
              </w:rPr>
            </w:pPr>
            <w:r>
              <w:rPr>
                <w:rFonts w:ascii="Arial" w:eastAsia="Times New Roman" w:hAnsi="Arial" w:cs="Arial"/>
                <w:sz w:val="20"/>
              </w:rPr>
              <w:t xml:space="preserve">Exemple de facture </w:t>
            </w:r>
            <w:proofErr w:type="spellStart"/>
            <w:r>
              <w:rPr>
                <w:rFonts w:ascii="Arial" w:eastAsia="Times New Roman" w:hAnsi="Arial" w:cs="Arial"/>
                <w:sz w:val="20"/>
              </w:rPr>
              <w:t>multi-sites</w:t>
            </w:r>
            <w:proofErr w:type="spellEnd"/>
            <w:r>
              <w:rPr>
                <w:rFonts w:ascii="Arial" w:eastAsia="Times New Roman" w:hAnsi="Arial" w:cs="Arial"/>
                <w:sz w:val="20"/>
              </w:rPr>
              <w:t xml:space="preserve"> concernant un regroupement de points de livraison (et son annexe) dématérialisée visualisable sur l’espace client (à placer en annexe)</w:t>
            </w:r>
          </w:p>
          <w:p>
            <w:pPr>
              <w:rPr>
                <w:rFonts w:ascii="Arial" w:eastAsia="Times New Roman" w:hAnsi="Arial" w:cs="Arial"/>
                <w:sz w:val="20"/>
              </w:rPr>
            </w:pPr>
            <w:r>
              <w:rPr>
                <w:rFonts w:ascii="Arial" w:eastAsia="Times New Roman" w:hAnsi="Arial" w:cs="Arial"/>
                <w:sz w:val="20"/>
              </w:rPr>
              <w:t>Seront appréciées sa lisibilité, sa complétude et sa conformité au CCP.</w:t>
            </w:r>
          </w:p>
        </w:tc>
        <w:tc>
          <w:tcPr>
            <w:tcW w:w="5821" w:type="dxa"/>
            <w:shd w:val="clear" w:color="auto" w:fill="EAF1DD" w:themeFill="accent3" w:themeFillTint="33"/>
            <w:vAlign w:val="center"/>
          </w:tcPr>
          <w:p>
            <w:pPr>
              <w:rPr>
                <w:rFonts w:ascii="Arial" w:hAnsi="Arial" w:cs="Arial"/>
                <w:bCs/>
              </w:rPr>
            </w:pPr>
          </w:p>
        </w:tc>
      </w:tr>
      <w:tr>
        <w:trPr>
          <w:trHeight w:val="1417"/>
          <w:jc w:val="center"/>
        </w:trPr>
        <w:tc>
          <w:tcPr>
            <w:tcW w:w="4106" w:type="dxa"/>
            <w:vAlign w:val="center"/>
          </w:tcPr>
          <w:p>
            <w:pPr>
              <w:rPr>
                <w:rFonts w:ascii="Arial" w:eastAsia="Times New Roman" w:hAnsi="Arial" w:cs="Arial"/>
                <w:sz w:val="20"/>
              </w:rPr>
            </w:pPr>
            <w:r>
              <w:rPr>
                <w:rFonts w:ascii="Arial" w:eastAsia="Times New Roman" w:hAnsi="Arial" w:cs="Arial"/>
                <w:sz w:val="20"/>
              </w:rPr>
              <w:lastRenderedPageBreak/>
              <w:t xml:space="preserve">Modalités de régularisation des factures en cas d’erreur (modalités de suivi, information des </w:t>
            </w:r>
            <w:proofErr w:type="gramStart"/>
            <w:r>
              <w:rPr>
                <w:rFonts w:ascii="Arial" w:eastAsia="Times New Roman" w:hAnsi="Arial" w:cs="Arial"/>
                <w:sz w:val="20"/>
              </w:rPr>
              <w:t>bénéficiaires,…</w:t>
            </w:r>
            <w:proofErr w:type="gramEnd"/>
            <w:r>
              <w:rPr>
                <w:rFonts w:ascii="Arial" w:eastAsia="Times New Roman" w:hAnsi="Arial" w:cs="Arial"/>
                <w:sz w:val="20"/>
              </w:rPr>
              <w:t>) : suivi et contrôles internes, information du service bénéficiaire,…</w:t>
            </w:r>
          </w:p>
        </w:tc>
        <w:tc>
          <w:tcPr>
            <w:tcW w:w="5821" w:type="dxa"/>
            <w:shd w:val="clear" w:color="auto" w:fill="EAF1DD" w:themeFill="accent3" w:themeFillTint="33"/>
            <w:vAlign w:val="center"/>
          </w:tcPr>
          <w:p>
            <w:pPr>
              <w:rPr>
                <w:rFonts w:ascii="Arial" w:hAnsi="Arial" w:cs="Arial"/>
                <w:bCs/>
              </w:rPr>
            </w:pPr>
          </w:p>
        </w:tc>
      </w:tr>
      <w:tr>
        <w:trPr>
          <w:trHeight w:val="1417"/>
          <w:jc w:val="center"/>
        </w:trPr>
        <w:tc>
          <w:tcPr>
            <w:tcW w:w="4106" w:type="dxa"/>
            <w:tcBorders>
              <w:bottom w:val="single" w:sz="4" w:space="0" w:color="auto"/>
            </w:tcBorders>
            <w:vAlign w:val="center"/>
          </w:tcPr>
          <w:p>
            <w:pPr>
              <w:rPr>
                <w:rFonts w:ascii="Arial" w:eastAsia="Times New Roman" w:hAnsi="Arial" w:cs="Arial"/>
                <w:sz w:val="20"/>
              </w:rPr>
            </w:pPr>
            <w:r>
              <w:rPr>
                <w:rFonts w:ascii="Arial" w:eastAsia="Times New Roman" w:hAnsi="Arial" w:cs="Arial"/>
                <w:sz w:val="20"/>
              </w:rPr>
              <w:t xml:space="preserve">Mode de transmission des factures par voie dématérialisée </w:t>
            </w:r>
          </w:p>
        </w:tc>
        <w:tc>
          <w:tcPr>
            <w:tcW w:w="5821" w:type="dxa"/>
            <w:tcBorders>
              <w:bottom w:val="single" w:sz="4" w:space="0" w:color="auto"/>
            </w:tcBorders>
            <w:shd w:val="clear" w:color="auto" w:fill="EAF1DD" w:themeFill="accent3" w:themeFillTint="33"/>
            <w:vAlign w:val="center"/>
          </w:tcPr>
          <w:p>
            <w:pPr>
              <w:rPr>
                <w:rFonts w:ascii="Arial" w:hAnsi="Arial" w:cs="Arial"/>
                <w:bCs/>
              </w:rPr>
            </w:pPr>
          </w:p>
        </w:tc>
      </w:tr>
      <w:tr>
        <w:trPr>
          <w:trHeight w:val="506"/>
          <w:jc w:val="center"/>
        </w:trPr>
        <w:tc>
          <w:tcPr>
            <w:tcW w:w="9927" w:type="dxa"/>
            <w:gridSpan w:val="2"/>
            <w:shd w:val="pct15" w:color="auto" w:fill="auto"/>
            <w:vAlign w:val="center"/>
          </w:tcPr>
          <w:p>
            <w:pPr>
              <w:rPr>
                <w:rFonts w:ascii="Arial" w:hAnsi="Arial" w:cs="Arial"/>
                <w:bCs/>
              </w:rPr>
            </w:pPr>
            <w:r>
              <w:rPr>
                <w:rFonts w:ascii="Arial" w:hAnsi="Arial" w:cs="Arial"/>
                <w:b/>
                <w:sz w:val="21"/>
                <w:szCs w:val="21"/>
                <w:lang w:eastAsia="zh-CN"/>
              </w:rPr>
              <w:t>Gestion de l’énergie : outil de suivi en ligne, restitution de données, services d’alertes</w:t>
            </w:r>
          </w:p>
        </w:tc>
      </w:tr>
      <w:tr>
        <w:trPr>
          <w:trHeight w:val="2187"/>
          <w:jc w:val="center"/>
        </w:trPr>
        <w:tc>
          <w:tcPr>
            <w:tcW w:w="4106" w:type="dxa"/>
            <w:vAlign w:val="center"/>
          </w:tcPr>
          <w:p>
            <w:pPr>
              <w:rPr>
                <w:rFonts w:ascii="Arial" w:eastAsia="Times New Roman" w:hAnsi="Arial" w:cs="Arial"/>
                <w:sz w:val="20"/>
              </w:rPr>
            </w:pPr>
            <w:r>
              <w:rPr>
                <w:rFonts w:ascii="Arial" w:eastAsia="Times New Roman" w:hAnsi="Arial" w:cs="Arial"/>
                <w:sz w:val="20"/>
              </w:rPr>
              <w:t>Présentation des fonctionnalités de l’outil (joindre une présentation de l’outil avec copies d’écrans en annexe), y compris en termes d’exports (modalités selon lesquelles les données de facturation peuvent être extraites sur un fichier contenant les données financières et données de consommations</w:t>
            </w:r>
            <w:r>
              <w:t>)</w:t>
            </w:r>
          </w:p>
        </w:tc>
        <w:tc>
          <w:tcPr>
            <w:tcW w:w="5821" w:type="dxa"/>
            <w:shd w:val="clear" w:color="auto" w:fill="EAF1DD" w:themeFill="accent3" w:themeFillTint="33"/>
            <w:vAlign w:val="center"/>
          </w:tcPr>
          <w:p>
            <w:pPr>
              <w:rPr>
                <w:rFonts w:ascii="Arial" w:hAnsi="Arial" w:cs="Arial"/>
                <w:bCs/>
              </w:rPr>
            </w:pPr>
          </w:p>
        </w:tc>
      </w:tr>
      <w:tr>
        <w:trPr>
          <w:trHeight w:val="1417"/>
          <w:jc w:val="center"/>
        </w:trPr>
        <w:tc>
          <w:tcPr>
            <w:tcW w:w="4106" w:type="dxa"/>
            <w:vAlign w:val="center"/>
          </w:tcPr>
          <w:p>
            <w:pPr>
              <w:rPr>
                <w:rFonts w:ascii="Arial" w:eastAsia="Times New Roman" w:hAnsi="Arial" w:cs="Arial"/>
                <w:sz w:val="20"/>
              </w:rPr>
            </w:pPr>
            <w:r>
              <w:rPr>
                <w:rFonts w:ascii="Arial" w:eastAsia="Times New Roman" w:hAnsi="Arial" w:cs="Arial"/>
                <w:sz w:val="20"/>
              </w:rPr>
              <w:t>Présentation du service d'alerte de dérives de consommation, a minima pour les sites T4 en gaz (lot G1) et C1-C2 en électricité (lot E1) ;</w:t>
            </w:r>
          </w:p>
        </w:tc>
        <w:tc>
          <w:tcPr>
            <w:tcW w:w="5821" w:type="dxa"/>
            <w:shd w:val="clear" w:color="auto" w:fill="EAF1DD" w:themeFill="accent3" w:themeFillTint="33"/>
            <w:vAlign w:val="center"/>
          </w:tcPr>
          <w:p>
            <w:pPr>
              <w:rPr>
                <w:rFonts w:ascii="Arial" w:hAnsi="Arial" w:cs="Arial"/>
                <w:bCs/>
              </w:rPr>
            </w:pPr>
          </w:p>
        </w:tc>
      </w:tr>
      <w:tr>
        <w:trPr>
          <w:trHeight w:val="1899"/>
          <w:jc w:val="center"/>
        </w:trPr>
        <w:tc>
          <w:tcPr>
            <w:tcW w:w="4106" w:type="dxa"/>
            <w:vAlign w:val="center"/>
          </w:tcPr>
          <w:p>
            <w:pPr>
              <w:rPr>
                <w:rFonts w:ascii="Arial" w:eastAsia="Times New Roman" w:hAnsi="Arial" w:cs="Arial"/>
                <w:sz w:val="20"/>
              </w:rPr>
            </w:pPr>
            <w:r>
              <w:rPr>
                <w:rFonts w:ascii="Arial" w:eastAsia="Times New Roman" w:hAnsi="Arial" w:cs="Arial"/>
                <w:sz w:val="20"/>
              </w:rPr>
              <w:t>Description du service d’alerte de dépassement :</w:t>
            </w:r>
          </w:p>
          <w:p>
            <w:pPr>
              <w:pStyle w:val="Paragraphedeliste"/>
              <w:numPr>
                <w:ilvl w:val="0"/>
                <w:numId w:val="20"/>
              </w:numPr>
              <w:spacing w:before="60"/>
              <w:ind w:left="714" w:hanging="357"/>
              <w:contextualSpacing w:val="0"/>
              <w:rPr>
                <w:rFonts w:ascii="Arial" w:eastAsia="Times New Roman" w:hAnsi="Arial" w:cs="Arial"/>
                <w:sz w:val="20"/>
              </w:rPr>
            </w:pPr>
            <w:r>
              <w:rPr>
                <w:rFonts w:ascii="Arial" w:eastAsia="Times New Roman" w:hAnsi="Arial" w:cs="Arial"/>
                <w:sz w:val="20"/>
              </w:rPr>
              <w:t xml:space="preserve">De puissances souscrites </w:t>
            </w:r>
            <w:proofErr w:type="gramStart"/>
            <w:r>
              <w:rPr>
                <w:rFonts w:ascii="Arial" w:eastAsia="Times New Roman" w:hAnsi="Arial" w:cs="Arial"/>
                <w:sz w:val="20"/>
              </w:rPr>
              <w:t>a</w:t>
            </w:r>
            <w:proofErr w:type="gramEnd"/>
            <w:r>
              <w:rPr>
                <w:rFonts w:ascii="Arial" w:eastAsia="Times New Roman" w:hAnsi="Arial" w:cs="Arial"/>
                <w:sz w:val="20"/>
              </w:rPr>
              <w:t xml:space="preserve"> minima pour les sites du lot E1 en électricité</w:t>
            </w:r>
          </w:p>
          <w:p>
            <w:pPr>
              <w:pStyle w:val="Paragraphedeliste"/>
              <w:numPr>
                <w:ilvl w:val="0"/>
                <w:numId w:val="20"/>
              </w:numPr>
              <w:spacing w:before="60"/>
              <w:ind w:left="714" w:hanging="357"/>
              <w:contextualSpacing w:val="0"/>
              <w:rPr>
                <w:rFonts w:ascii="Arial" w:eastAsia="Times New Roman" w:hAnsi="Arial" w:cs="Arial"/>
                <w:sz w:val="20"/>
              </w:rPr>
            </w:pPr>
            <w:r>
              <w:rPr>
                <w:rFonts w:ascii="Arial" w:eastAsia="Times New Roman" w:hAnsi="Arial" w:cs="Arial"/>
                <w:sz w:val="20"/>
              </w:rPr>
              <w:t>De Capacité Journalière Souscrite pour les sites T4 du lot G1</w:t>
            </w:r>
          </w:p>
        </w:tc>
        <w:tc>
          <w:tcPr>
            <w:tcW w:w="5821" w:type="dxa"/>
            <w:shd w:val="clear" w:color="auto" w:fill="EAF1DD" w:themeFill="accent3" w:themeFillTint="33"/>
            <w:vAlign w:val="center"/>
          </w:tcPr>
          <w:p>
            <w:pPr>
              <w:rPr>
                <w:rFonts w:ascii="Arial" w:hAnsi="Arial" w:cs="Arial"/>
                <w:bCs/>
              </w:rPr>
            </w:pPr>
          </w:p>
        </w:tc>
      </w:tr>
      <w:tr>
        <w:trPr>
          <w:trHeight w:val="1417"/>
          <w:jc w:val="center"/>
        </w:trPr>
        <w:tc>
          <w:tcPr>
            <w:tcW w:w="4106" w:type="dxa"/>
            <w:vAlign w:val="center"/>
          </w:tcPr>
          <w:p>
            <w:pPr>
              <w:rPr>
                <w:rFonts w:ascii="Arial" w:eastAsia="Times New Roman" w:hAnsi="Arial" w:cs="Arial"/>
                <w:sz w:val="20"/>
              </w:rPr>
            </w:pPr>
            <w:r>
              <w:rPr>
                <w:rFonts w:ascii="Arial" w:eastAsia="Times New Roman" w:hAnsi="Arial" w:cs="Arial"/>
                <w:sz w:val="20"/>
              </w:rPr>
              <w:t>Présentation des solutions proposées en cas de dépassement de puissances souscrites / capacité journalière souscrite</w:t>
            </w:r>
          </w:p>
        </w:tc>
        <w:tc>
          <w:tcPr>
            <w:tcW w:w="5821" w:type="dxa"/>
            <w:shd w:val="clear" w:color="auto" w:fill="EAF1DD" w:themeFill="accent3" w:themeFillTint="33"/>
            <w:vAlign w:val="center"/>
          </w:tcPr>
          <w:p>
            <w:pPr>
              <w:rPr>
                <w:rFonts w:ascii="Arial" w:hAnsi="Arial" w:cs="Arial"/>
                <w:bCs/>
              </w:rPr>
            </w:pPr>
          </w:p>
        </w:tc>
      </w:tr>
      <w:tr>
        <w:trPr>
          <w:trHeight w:val="1417"/>
          <w:jc w:val="center"/>
        </w:trPr>
        <w:tc>
          <w:tcPr>
            <w:tcW w:w="4106" w:type="dxa"/>
            <w:vAlign w:val="center"/>
          </w:tcPr>
          <w:p>
            <w:pPr>
              <w:rPr>
                <w:rFonts w:ascii="Arial" w:eastAsia="Times New Roman" w:hAnsi="Arial" w:cs="Arial"/>
                <w:sz w:val="20"/>
              </w:rPr>
            </w:pPr>
            <w:r>
              <w:rPr>
                <w:rFonts w:ascii="Arial" w:eastAsia="Times New Roman" w:hAnsi="Arial" w:cs="Arial"/>
                <w:sz w:val="20"/>
              </w:rPr>
              <w:t xml:space="preserve">Le cas échéant, présentation du service de visualisation des courbes de charge pour les sites télé-relevés </w:t>
            </w:r>
          </w:p>
        </w:tc>
        <w:tc>
          <w:tcPr>
            <w:tcW w:w="5821" w:type="dxa"/>
            <w:shd w:val="clear" w:color="auto" w:fill="EAF1DD" w:themeFill="accent3" w:themeFillTint="33"/>
            <w:vAlign w:val="center"/>
          </w:tcPr>
          <w:p>
            <w:pPr>
              <w:rPr>
                <w:rFonts w:ascii="Arial" w:hAnsi="Arial" w:cs="Arial"/>
                <w:bCs/>
              </w:rPr>
            </w:pPr>
          </w:p>
        </w:tc>
      </w:tr>
      <w:tr>
        <w:trPr>
          <w:trHeight w:val="1417"/>
          <w:jc w:val="center"/>
        </w:trPr>
        <w:tc>
          <w:tcPr>
            <w:tcW w:w="4106" w:type="dxa"/>
            <w:vAlign w:val="center"/>
          </w:tcPr>
          <w:p>
            <w:pPr>
              <w:rPr>
                <w:rFonts w:ascii="Arial" w:eastAsia="Times New Roman" w:hAnsi="Arial" w:cs="Arial"/>
                <w:sz w:val="20"/>
              </w:rPr>
            </w:pPr>
            <w:r>
              <w:rPr>
                <w:rFonts w:ascii="Arial" w:eastAsia="Times New Roman" w:hAnsi="Arial" w:cs="Arial"/>
                <w:sz w:val="20"/>
              </w:rPr>
              <w:t>Liste des données de facturation disponibles dans l’outil / Délai de mise à disposition des informations</w:t>
            </w:r>
          </w:p>
        </w:tc>
        <w:tc>
          <w:tcPr>
            <w:tcW w:w="5821" w:type="dxa"/>
            <w:shd w:val="clear" w:color="auto" w:fill="EAF1DD" w:themeFill="accent3" w:themeFillTint="33"/>
            <w:vAlign w:val="center"/>
          </w:tcPr>
          <w:p>
            <w:pPr>
              <w:rPr>
                <w:rFonts w:ascii="Arial" w:hAnsi="Arial" w:cs="Arial"/>
                <w:bCs/>
              </w:rPr>
            </w:pPr>
          </w:p>
        </w:tc>
      </w:tr>
      <w:tr>
        <w:trPr>
          <w:trHeight w:val="1417"/>
          <w:jc w:val="center"/>
        </w:trPr>
        <w:tc>
          <w:tcPr>
            <w:tcW w:w="4106" w:type="dxa"/>
            <w:vAlign w:val="center"/>
          </w:tcPr>
          <w:p>
            <w:pPr>
              <w:rPr>
                <w:rFonts w:ascii="Arial" w:eastAsia="Times New Roman" w:hAnsi="Arial" w:cs="Arial"/>
                <w:sz w:val="20"/>
              </w:rPr>
            </w:pPr>
            <w:r>
              <w:rPr>
                <w:rFonts w:ascii="Arial" w:eastAsia="Times New Roman" w:hAnsi="Arial" w:cs="Arial"/>
                <w:sz w:val="20"/>
              </w:rPr>
              <w:lastRenderedPageBreak/>
              <w:t>Modalités et suivi des demandes clients exprimées via l’espace clients ou la relation clientèle / Traçabilité des échanges</w:t>
            </w:r>
          </w:p>
        </w:tc>
        <w:tc>
          <w:tcPr>
            <w:tcW w:w="5821" w:type="dxa"/>
            <w:shd w:val="clear" w:color="auto" w:fill="EAF1DD" w:themeFill="accent3" w:themeFillTint="33"/>
            <w:vAlign w:val="center"/>
          </w:tcPr>
          <w:p>
            <w:pPr>
              <w:rPr>
                <w:rFonts w:ascii="Arial" w:hAnsi="Arial" w:cs="Arial"/>
                <w:bCs/>
              </w:rPr>
            </w:pPr>
          </w:p>
        </w:tc>
      </w:tr>
      <w:tr>
        <w:trPr>
          <w:trHeight w:val="1417"/>
          <w:jc w:val="center"/>
        </w:trPr>
        <w:tc>
          <w:tcPr>
            <w:tcW w:w="4106" w:type="dxa"/>
            <w:vAlign w:val="center"/>
          </w:tcPr>
          <w:p>
            <w:pPr>
              <w:rPr>
                <w:rFonts w:ascii="Arial" w:eastAsia="Times New Roman" w:hAnsi="Arial" w:cs="Arial"/>
                <w:sz w:val="20"/>
              </w:rPr>
            </w:pPr>
            <w:r>
              <w:rPr>
                <w:rFonts w:ascii="Arial" w:eastAsia="Times New Roman" w:hAnsi="Arial" w:cs="Arial"/>
                <w:sz w:val="20"/>
              </w:rPr>
              <w:t>Modalités d’accompagnement des services bénéficiaires dans la prise en main des outils mis en place (joindre en annexe un support pour la prise en main de l’outil)</w:t>
            </w:r>
          </w:p>
        </w:tc>
        <w:tc>
          <w:tcPr>
            <w:tcW w:w="5821" w:type="dxa"/>
            <w:shd w:val="clear" w:color="auto" w:fill="EAF1DD" w:themeFill="accent3" w:themeFillTint="33"/>
            <w:vAlign w:val="center"/>
          </w:tcPr>
          <w:p>
            <w:pPr>
              <w:rPr>
                <w:rFonts w:ascii="Arial" w:hAnsi="Arial" w:cs="Arial"/>
                <w:bCs/>
              </w:rPr>
            </w:pPr>
          </w:p>
        </w:tc>
      </w:tr>
      <w:tr>
        <w:trPr>
          <w:trHeight w:val="2360"/>
          <w:jc w:val="center"/>
        </w:trPr>
        <w:tc>
          <w:tcPr>
            <w:tcW w:w="4106" w:type="dxa"/>
            <w:vAlign w:val="center"/>
          </w:tcPr>
          <w:p>
            <w:pPr>
              <w:rPr>
                <w:rFonts w:ascii="Arial" w:eastAsia="Times New Roman" w:hAnsi="Arial" w:cs="Arial"/>
                <w:sz w:val="20"/>
              </w:rPr>
            </w:pPr>
            <w:r>
              <w:rPr>
                <w:rFonts w:ascii="Arial" w:eastAsia="Times New Roman" w:hAnsi="Arial" w:cs="Arial"/>
                <w:sz w:val="20"/>
              </w:rPr>
              <w:t>Mesures de cybersécurité mises en œuvre (dont les conditions d’hébergement des données avec identité de l’hébergeur et pays d’hébergement notamment) afin d’assurer la conformité de l’outil de suivi en ligne aux prescriptions du cahier des clauses de cybersécurité approuvé par arrêté du 18 septembre 2018 (cf. article 6.2 du CCP)</w:t>
            </w:r>
          </w:p>
        </w:tc>
        <w:tc>
          <w:tcPr>
            <w:tcW w:w="5821" w:type="dxa"/>
            <w:shd w:val="clear" w:color="auto" w:fill="EAF1DD" w:themeFill="accent3" w:themeFillTint="33"/>
            <w:vAlign w:val="center"/>
          </w:tcPr>
          <w:p>
            <w:pPr>
              <w:rPr>
                <w:rFonts w:ascii="Arial" w:hAnsi="Arial" w:cs="Arial"/>
                <w:bCs/>
              </w:rPr>
            </w:pPr>
          </w:p>
        </w:tc>
      </w:tr>
      <w:tr>
        <w:trPr>
          <w:trHeight w:val="1231"/>
          <w:jc w:val="center"/>
        </w:trPr>
        <w:tc>
          <w:tcPr>
            <w:tcW w:w="4106" w:type="dxa"/>
            <w:vAlign w:val="center"/>
          </w:tcPr>
          <w:p>
            <w:pPr>
              <w:rPr>
                <w:rFonts w:ascii="Arial" w:eastAsia="Times New Roman" w:hAnsi="Arial" w:cs="Arial"/>
                <w:sz w:val="20"/>
              </w:rPr>
            </w:pPr>
            <w:r>
              <w:rPr>
                <w:rFonts w:ascii="Arial" w:eastAsia="Times New Roman" w:hAnsi="Arial" w:cs="Arial"/>
                <w:sz w:val="20"/>
              </w:rPr>
              <w:t>Mesures mises en œuvre pour assurer le respect de la réglementation relative à la protection des données personnelles.</w:t>
            </w:r>
          </w:p>
        </w:tc>
        <w:tc>
          <w:tcPr>
            <w:tcW w:w="5821" w:type="dxa"/>
            <w:shd w:val="clear" w:color="auto" w:fill="EAF1DD" w:themeFill="accent3" w:themeFillTint="33"/>
            <w:vAlign w:val="center"/>
          </w:tcPr>
          <w:p>
            <w:pPr>
              <w:rPr>
                <w:rFonts w:ascii="Arial" w:hAnsi="Arial" w:cs="Arial"/>
                <w:bCs/>
              </w:rPr>
            </w:pPr>
          </w:p>
        </w:tc>
      </w:tr>
      <w:tr>
        <w:trPr>
          <w:trHeight w:val="1417"/>
          <w:jc w:val="center"/>
        </w:trPr>
        <w:tc>
          <w:tcPr>
            <w:tcW w:w="4106" w:type="dxa"/>
            <w:vAlign w:val="center"/>
          </w:tcPr>
          <w:p>
            <w:pPr>
              <w:rPr>
                <w:rFonts w:ascii="Arial" w:eastAsia="Times New Roman" w:hAnsi="Arial" w:cs="Arial"/>
                <w:sz w:val="20"/>
              </w:rPr>
            </w:pPr>
            <w:r>
              <w:rPr>
                <w:rFonts w:ascii="Arial" w:eastAsia="Times New Roman" w:hAnsi="Arial" w:cs="Arial"/>
                <w:sz w:val="20"/>
              </w:rPr>
              <w:t>Existence d’un plan de continuité d’activité</w:t>
            </w:r>
          </w:p>
        </w:tc>
        <w:tc>
          <w:tcPr>
            <w:tcW w:w="5821" w:type="dxa"/>
            <w:shd w:val="clear" w:color="auto" w:fill="EAF1DD" w:themeFill="accent3" w:themeFillTint="33"/>
            <w:vAlign w:val="center"/>
          </w:tcPr>
          <w:p>
            <w:pPr>
              <w:rPr>
                <w:rFonts w:ascii="Arial" w:hAnsi="Arial" w:cs="Arial"/>
                <w:bCs/>
              </w:rPr>
            </w:pPr>
          </w:p>
        </w:tc>
      </w:tr>
      <w:tr>
        <w:trPr>
          <w:trHeight w:val="454"/>
          <w:jc w:val="center"/>
        </w:trPr>
        <w:tc>
          <w:tcPr>
            <w:tcW w:w="9927" w:type="dxa"/>
            <w:gridSpan w:val="2"/>
            <w:shd w:val="clear" w:color="auto" w:fill="D9D9D9" w:themeFill="background1" w:themeFillShade="D9"/>
            <w:vAlign w:val="center"/>
          </w:tcPr>
          <w:p>
            <w:pPr>
              <w:rPr>
                <w:rFonts w:ascii="Arial" w:hAnsi="Arial" w:cs="Arial"/>
                <w:b/>
                <w:bCs/>
                <w:sz w:val="21"/>
                <w:szCs w:val="21"/>
              </w:rPr>
            </w:pPr>
            <w:r>
              <w:rPr>
                <w:rFonts w:ascii="Arial" w:eastAsia="Times New Roman" w:hAnsi="Arial" w:cs="Arial"/>
                <w:b/>
                <w:sz w:val="21"/>
                <w:szCs w:val="21"/>
                <w:lang w:eastAsia="fr-FR"/>
              </w:rPr>
              <w:t>R</w:t>
            </w:r>
            <w:r>
              <w:rPr>
                <w:rFonts w:ascii="Arial" w:hAnsi="Arial" w:cs="Arial"/>
                <w:b/>
                <w:sz w:val="21"/>
                <w:szCs w:val="21"/>
                <w:lang w:eastAsia="zh-CN"/>
              </w:rPr>
              <w:t>elation clientèle</w:t>
            </w:r>
          </w:p>
        </w:tc>
      </w:tr>
      <w:tr>
        <w:trPr>
          <w:trHeight w:val="1417"/>
          <w:jc w:val="center"/>
        </w:trPr>
        <w:tc>
          <w:tcPr>
            <w:tcW w:w="4106" w:type="dxa"/>
            <w:vAlign w:val="center"/>
          </w:tcPr>
          <w:p>
            <w:pPr>
              <w:rPr>
                <w:rFonts w:ascii="Arial" w:eastAsia="Times New Roman" w:hAnsi="Arial" w:cs="Arial"/>
                <w:sz w:val="20"/>
              </w:rPr>
            </w:pPr>
            <w:r>
              <w:rPr>
                <w:rFonts w:ascii="Arial" w:eastAsia="Times New Roman" w:hAnsi="Arial" w:cs="Arial"/>
                <w:sz w:val="20"/>
              </w:rPr>
              <w:t>Moyens mis en œuvre pour assurer la relation clientèle : organisation du service clients, moyens humains pour assurer le suivi des factures et les réponses aux réclamations</w:t>
            </w:r>
          </w:p>
        </w:tc>
        <w:tc>
          <w:tcPr>
            <w:tcW w:w="5821" w:type="dxa"/>
            <w:shd w:val="clear" w:color="auto" w:fill="EAF1DD" w:themeFill="accent3" w:themeFillTint="33"/>
            <w:vAlign w:val="center"/>
          </w:tcPr>
          <w:p>
            <w:pPr>
              <w:rPr>
                <w:rFonts w:ascii="Arial" w:hAnsi="Arial" w:cs="Arial"/>
                <w:bCs/>
              </w:rPr>
            </w:pPr>
          </w:p>
        </w:tc>
      </w:tr>
      <w:tr>
        <w:trPr>
          <w:trHeight w:val="1578"/>
          <w:jc w:val="center"/>
        </w:trPr>
        <w:tc>
          <w:tcPr>
            <w:tcW w:w="4106" w:type="dxa"/>
            <w:vAlign w:val="center"/>
          </w:tcPr>
          <w:p>
            <w:pPr>
              <w:rPr>
                <w:rFonts w:ascii="Arial" w:eastAsia="Times New Roman" w:hAnsi="Arial" w:cs="Arial"/>
                <w:sz w:val="20"/>
              </w:rPr>
            </w:pPr>
            <w:r>
              <w:rPr>
                <w:rFonts w:ascii="Arial" w:eastAsia="Times New Roman" w:hAnsi="Arial" w:cs="Arial"/>
                <w:sz w:val="20"/>
              </w:rPr>
              <w:t>Identification des interlocuteurs mis à disposition de l’acheteur et des bénéficiaires (nom / ligne directe, courriel) / Moyens d’assistance (assistance téléphonique spécialisée, adresse mail fonctionnelle, …)</w:t>
            </w:r>
          </w:p>
        </w:tc>
        <w:tc>
          <w:tcPr>
            <w:tcW w:w="5821" w:type="dxa"/>
            <w:shd w:val="clear" w:color="auto" w:fill="EAF1DD" w:themeFill="accent3" w:themeFillTint="33"/>
            <w:vAlign w:val="center"/>
          </w:tcPr>
          <w:p>
            <w:pPr>
              <w:rPr>
                <w:rFonts w:ascii="Arial" w:hAnsi="Arial" w:cs="Arial"/>
                <w:bCs/>
              </w:rPr>
            </w:pPr>
          </w:p>
        </w:tc>
      </w:tr>
      <w:tr>
        <w:trPr>
          <w:trHeight w:val="1417"/>
          <w:jc w:val="center"/>
        </w:trPr>
        <w:tc>
          <w:tcPr>
            <w:tcW w:w="4106" w:type="dxa"/>
            <w:vAlign w:val="center"/>
          </w:tcPr>
          <w:p>
            <w:pPr>
              <w:rPr>
                <w:rFonts w:ascii="Arial" w:eastAsia="Times New Roman" w:hAnsi="Arial" w:cs="Arial"/>
                <w:sz w:val="20"/>
              </w:rPr>
            </w:pPr>
            <w:r>
              <w:rPr>
                <w:rFonts w:ascii="Arial" w:eastAsia="Times New Roman" w:hAnsi="Arial" w:cs="Arial"/>
                <w:sz w:val="20"/>
              </w:rPr>
              <w:t>Disponibilité de l’interlocuteur (plages horaires auxquelles il peut être contacté) / Délais de réponses</w:t>
            </w:r>
            <w:r>
              <w:rPr>
                <w:rFonts w:ascii="Arial" w:eastAsia="Times New Roman" w:hAnsi="Arial" w:cs="Arial"/>
                <w:sz w:val="20"/>
              </w:rPr>
              <w:tab/>
            </w:r>
          </w:p>
        </w:tc>
        <w:tc>
          <w:tcPr>
            <w:tcW w:w="5821" w:type="dxa"/>
            <w:shd w:val="clear" w:color="auto" w:fill="EAF1DD" w:themeFill="accent3" w:themeFillTint="33"/>
            <w:vAlign w:val="center"/>
          </w:tcPr>
          <w:p>
            <w:pPr>
              <w:rPr>
                <w:rFonts w:ascii="Arial" w:hAnsi="Arial" w:cs="Arial"/>
                <w:bCs/>
              </w:rPr>
            </w:pPr>
          </w:p>
        </w:tc>
      </w:tr>
      <w:tr>
        <w:trPr>
          <w:trHeight w:val="1417"/>
          <w:jc w:val="center"/>
        </w:trPr>
        <w:tc>
          <w:tcPr>
            <w:tcW w:w="4106" w:type="dxa"/>
            <w:vAlign w:val="center"/>
          </w:tcPr>
          <w:p>
            <w:pPr>
              <w:rPr>
                <w:rFonts w:ascii="Arial" w:eastAsia="Times New Roman" w:hAnsi="Arial" w:cs="Arial"/>
                <w:sz w:val="20"/>
              </w:rPr>
            </w:pPr>
            <w:r>
              <w:rPr>
                <w:rFonts w:ascii="Arial" w:eastAsia="Times New Roman" w:hAnsi="Arial" w:cs="Arial"/>
                <w:sz w:val="20"/>
              </w:rPr>
              <w:t>Suivi et traçabilité du traitement des demandes client sur l’espace en ligne</w:t>
            </w:r>
          </w:p>
        </w:tc>
        <w:tc>
          <w:tcPr>
            <w:tcW w:w="5821" w:type="dxa"/>
            <w:shd w:val="clear" w:color="auto" w:fill="EAF1DD" w:themeFill="accent3" w:themeFillTint="33"/>
            <w:vAlign w:val="center"/>
          </w:tcPr>
          <w:p>
            <w:pPr>
              <w:rPr>
                <w:rFonts w:ascii="Arial" w:hAnsi="Arial" w:cs="Arial"/>
                <w:bCs/>
              </w:rPr>
            </w:pPr>
          </w:p>
        </w:tc>
      </w:tr>
      <w:tr>
        <w:trPr>
          <w:trHeight w:val="1096"/>
          <w:jc w:val="center"/>
        </w:trPr>
        <w:tc>
          <w:tcPr>
            <w:tcW w:w="4106" w:type="dxa"/>
            <w:shd w:val="clear" w:color="auto" w:fill="FFFFFF" w:themeFill="background1"/>
            <w:vAlign w:val="center"/>
          </w:tcPr>
          <w:p>
            <w:pPr>
              <w:rPr>
                <w:rFonts w:ascii="Arial" w:eastAsia="Times New Roman" w:hAnsi="Arial" w:cs="Arial"/>
                <w:sz w:val="20"/>
              </w:rPr>
            </w:pPr>
            <w:r>
              <w:rPr>
                <w:rFonts w:ascii="Arial" w:eastAsia="Times New Roman" w:hAnsi="Arial" w:cs="Arial"/>
                <w:sz w:val="20"/>
              </w:rPr>
              <w:lastRenderedPageBreak/>
              <w:t>Présentation des outils et indicateurs permettant le suivi de la qualité de la relation clients</w:t>
            </w:r>
          </w:p>
        </w:tc>
        <w:tc>
          <w:tcPr>
            <w:tcW w:w="5821" w:type="dxa"/>
            <w:shd w:val="clear" w:color="auto" w:fill="EAF1DD" w:themeFill="accent3" w:themeFillTint="33"/>
            <w:vAlign w:val="center"/>
          </w:tcPr>
          <w:p>
            <w:pPr>
              <w:rPr>
                <w:rFonts w:ascii="Arial" w:eastAsia="Times New Roman" w:hAnsi="Arial" w:cs="Arial"/>
                <w:sz w:val="20"/>
              </w:rPr>
            </w:pPr>
          </w:p>
        </w:tc>
      </w:tr>
      <w:tr>
        <w:trPr>
          <w:trHeight w:val="454"/>
          <w:jc w:val="center"/>
        </w:trPr>
        <w:tc>
          <w:tcPr>
            <w:tcW w:w="9927" w:type="dxa"/>
            <w:gridSpan w:val="2"/>
            <w:shd w:val="clear" w:color="auto" w:fill="D9D9D9" w:themeFill="background1" w:themeFillShade="D9"/>
            <w:vAlign w:val="center"/>
          </w:tcPr>
          <w:p>
            <w:pPr>
              <w:pStyle w:val="western"/>
              <w:ind w:left="0"/>
              <w:jc w:val="left"/>
              <w:rPr>
                <w:rFonts w:eastAsia="Arial Unicode MS"/>
                <w:b/>
                <w:kern w:val="3"/>
                <w:sz w:val="21"/>
                <w:szCs w:val="21"/>
                <w:lang w:eastAsia="zh-CN"/>
              </w:rPr>
            </w:pPr>
            <w:r>
              <w:rPr>
                <w:rFonts w:eastAsia="Arial Unicode MS"/>
                <w:b/>
                <w:kern w:val="3"/>
                <w:sz w:val="21"/>
                <w:szCs w:val="21"/>
                <w:lang w:eastAsia="zh-CN"/>
              </w:rPr>
              <w:t>Prise en compte des sites sur territoires d’ELD (lots E4 et G3 uniquement)</w:t>
            </w:r>
          </w:p>
        </w:tc>
      </w:tr>
      <w:tr>
        <w:trPr>
          <w:trHeight w:val="2627"/>
          <w:jc w:val="center"/>
        </w:trPr>
        <w:tc>
          <w:tcPr>
            <w:tcW w:w="4106" w:type="dxa"/>
            <w:vAlign w:val="center"/>
          </w:tcPr>
          <w:p>
            <w:pPr>
              <w:rPr>
                <w:rFonts w:ascii="Arial" w:eastAsia="Times New Roman" w:hAnsi="Arial" w:cs="Arial"/>
                <w:sz w:val="20"/>
              </w:rPr>
            </w:pPr>
            <w:r>
              <w:rPr>
                <w:rFonts w:ascii="Arial" w:eastAsia="Times New Roman" w:hAnsi="Arial" w:cs="Arial"/>
                <w:sz w:val="20"/>
              </w:rPr>
              <w:t xml:space="preserve">Joindre : </w:t>
            </w:r>
          </w:p>
          <w:p>
            <w:pPr>
              <w:pStyle w:val="Paragraphedeliste"/>
              <w:numPr>
                <w:ilvl w:val="0"/>
                <w:numId w:val="12"/>
              </w:numPr>
              <w:spacing w:before="60" w:after="60"/>
              <w:ind w:left="459" w:hanging="357"/>
              <w:contextualSpacing w:val="0"/>
              <w:rPr>
                <w:rFonts w:ascii="Arial" w:eastAsia="Times New Roman" w:hAnsi="Arial" w:cs="Arial"/>
                <w:sz w:val="20"/>
              </w:rPr>
            </w:pPr>
            <w:r>
              <w:rPr>
                <w:rFonts w:ascii="Arial" w:eastAsia="Times New Roman" w:hAnsi="Arial" w:cs="Arial"/>
                <w:sz w:val="20"/>
              </w:rPr>
              <w:t xml:space="preserve">La liste des ELD avec lesquelles un contrat GRD-F en électricité (lot E4) et/ou CAD en gaz (lot G3) est signé, </w:t>
            </w:r>
          </w:p>
          <w:p>
            <w:pPr>
              <w:pStyle w:val="Paragraphedeliste"/>
              <w:numPr>
                <w:ilvl w:val="0"/>
                <w:numId w:val="12"/>
              </w:numPr>
              <w:spacing w:before="120"/>
              <w:ind w:left="459" w:hanging="357"/>
              <w:contextualSpacing w:val="0"/>
              <w:rPr>
                <w:rFonts w:ascii="Arial" w:eastAsia="Times New Roman" w:hAnsi="Arial" w:cs="Arial"/>
                <w:sz w:val="20"/>
              </w:rPr>
            </w:pPr>
            <w:r>
              <w:rPr>
                <w:rFonts w:ascii="Arial" w:eastAsia="Times New Roman" w:hAnsi="Arial" w:cs="Arial"/>
                <w:sz w:val="20"/>
              </w:rPr>
              <w:t>La liste des ELD pour lesquelles ces contrats sont en cours de signature</w:t>
            </w:r>
          </w:p>
          <w:p>
            <w:pPr>
              <w:spacing w:before="120"/>
              <w:ind w:left="102"/>
              <w:rPr>
                <w:rFonts w:ascii="Arial" w:eastAsia="Times New Roman" w:hAnsi="Arial" w:cs="Arial"/>
                <w:sz w:val="20"/>
              </w:rPr>
            </w:pPr>
            <w:r>
              <w:rPr>
                <w:rFonts w:ascii="Arial" w:eastAsia="Times New Roman" w:hAnsi="Arial" w:cs="Arial"/>
                <w:sz w:val="20"/>
              </w:rPr>
              <w:t>Sera apprécié le nombre d’ELD avec lesquelles chaque candidat a signé un contrat pour chaque énergie.</w:t>
            </w:r>
          </w:p>
        </w:tc>
        <w:tc>
          <w:tcPr>
            <w:tcW w:w="5821" w:type="dxa"/>
            <w:shd w:val="clear" w:color="auto" w:fill="EAF1DD" w:themeFill="accent3" w:themeFillTint="33"/>
            <w:vAlign w:val="center"/>
          </w:tcPr>
          <w:p>
            <w:pPr>
              <w:rPr>
                <w:rFonts w:ascii="Arial" w:hAnsi="Arial" w:cs="Arial"/>
                <w:bCs/>
              </w:rPr>
            </w:pPr>
          </w:p>
        </w:tc>
      </w:tr>
      <w:tr>
        <w:trPr>
          <w:trHeight w:val="454"/>
          <w:jc w:val="center"/>
        </w:trPr>
        <w:tc>
          <w:tcPr>
            <w:tcW w:w="9927" w:type="dxa"/>
            <w:gridSpan w:val="2"/>
            <w:shd w:val="clear" w:color="auto" w:fill="B8CCE4" w:themeFill="accent1" w:themeFillTint="66"/>
            <w:vAlign w:val="center"/>
          </w:tcPr>
          <w:p>
            <w:pPr>
              <w:pStyle w:val="western"/>
              <w:ind w:left="0"/>
              <w:jc w:val="left"/>
              <w:rPr>
                <w:rFonts w:eastAsia="Arial Unicode MS"/>
                <w:b/>
                <w:kern w:val="3"/>
                <w:sz w:val="21"/>
                <w:szCs w:val="21"/>
                <w:lang w:eastAsia="zh-CN"/>
              </w:rPr>
            </w:pPr>
            <w:r>
              <w:rPr>
                <w:rFonts w:eastAsia="Arial Unicode MS"/>
                <w:b/>
                <w:kern w:val="3"/>
                <w:sz w:val="21"/>
                <w:szCs w:val="21"/>
                <w:lang w:eastAsia="zh-CN"/>
              </w:rPr>
              <w:t>Critère valeur financière</w:t>
            </w:r>
          </w:p>
        </w:tc>
      </w:tr>
      <w:tr>
        <w:trPr>
          <w:trHeight w:val="454"/>
          <w:jc w:val="center"/>
        </w:trPr>
        <w:tc>
          <w:tcPr>
            <w:tcW w:w="9927" w:type="dxa"/>
            <w:gridSpan w:val="2"/>
            <w:shd w:val="clear" w:color="auto" w:fill="D9D9D9" w:themeFill="background1" w:themeFillShade="D9"/>
            <w:vAlign w:val="center"/>
          </w:tcPr>
          <w:p>
            <w:pPr>
              <w:pStyle w:val="western"/>
              <w:ind w:left="0"/>
              <w:jc w:val="left"/>
              <w:rPr>
                <w:rFonts w:eastAsia="Arial Unicode MS"/>
                <w:b/>
                <w:kern w:val="3"/>
                <w:sz w:val="21"/>
                <w:szCs w:val="21"/>
                <w:lang w:eastAsia="zh-CN"/>
              </w:rPr>
            </w:pPr>
            <w:r>
              <w:rPr>
                <w:rFonts w:eastAsia="Arial Unicode MS"/>
                <w:b/>
                <w:kern w:val="3"/>
                <w:sz w:val="21"/>
                <w:szCs w:val="21"/>
                <w:lang w:eastAsia="zh-CN"/>
              </w:rPr>
              <w:t xml:space="preserve">Services proposés en matière d’optimisation tarifaire et financière </w:t>
            </w:r>
          </w:p>
        </w:tc>
      </w:tr>
      <w:tr>
        <w:trPr>
          <w:trHeight w:val="1417"/>
          <w:jc w:val="center"/>
        </w:trPr>
        <w:tc>
          <w:tcPr>
            <w:tcW w:w="4106" w:type="dxa"/>
            <w:vAlign w:val="center"/>
          </w:tcPr>
          <w:p>
            <w:pPr>
              <w:rPr>
                <w:rFonts w:ascii="Arial" w:eastAsia="Times New Roman" w:hAnsi="Arial" w:cs="Arial"/>
                <w:sz w:val="20"/>
              </w:rPr>
            </w:pPr>
            <w:r>
              <w:rPr>
                <w:rFonts w:ascii="Arial" w:eastAsia="Times New Roman" w:hAnsi="Arial" w:cs="Arial"/>
                <w:sz w:val="20"/>
              </w:rPr>
              <w:t>Modalités d’optimisation tarifaire : outils utilisés, coûts et délai d’exécution d’une optimisation</w:t>
            </w:r>
          </w:p>
        </w:tc>
        <w:tc>
          <w:tcPr>
            <w:tcW w:w="5821" w:type="dxa"/>
            <w:shd w:val="clear" w:color="auto" w:fill="EAF1DD" w:themeFill="accent3" w:themeFillTint="33"/>
            <w:vAlign w:val="center"/>
          </w:tcPr>
          <w:p>
            <w:pPr>
              <w:rPr>
                <w:rFonts w:ascii="Arial" w:hAnsi="Arial" w:cs="Arial"/>
                <w:bCs/>
              </w:rPr>
            </w:pPr>
          </w:p>
        </w:tc>
      </w:tr>
      <w:tr>
        <w:trPr>
          <w:trHeight w:val="1417"/>
          <w:jc w:val="center"/>
        </w:trPr>
        <w:tc>
          <w:tcPr>
            <w:tcW w:w="4106" w:type="dxa"/>
            <w:vAlign w:val="center"/>
          </w:tcPr>
          <w:p>
            <w:pPr>
              <w:rPr>
                <w:rFonts w:ascii="Arial" w:eastAsia="Times New Roman" w:hAnsi="Arial" w:cs="Arial"/>
                <w:sz w:val="20"/>
              </w:rPr>
            </w:pPr>
            <w:r>
              <w:rPr>
                <w:rFonts w:ascii="Arial" w:eastAsia="Times New Roman" w:hAnsi="Arial" w:cs="Arial"/>
                <w:sz w:val="20"/>
              </w:rPr>
              <w:t>Modalités de prise en compte des éventuelles conséquences et contraintes du GRD et des coûts / limites de mise en œuvre en découlant dans les études d’optimisation</w:t>
            </w:r>
          </w:p>
        </w:tc>
        <w:tc>
          <w:tcPr>
            <w:tcW w:w="5821" w:type="dxa"/>
            <w:shd w:val="clear" w:color="auto" w:fill="EAF1DD" w:themeFill="accent3" w:themeFillTint="33"/>
            <w:vAlign w:val="center"/>
          </w:tcPr>
          <w:p>
            <w:pPr>
              <w:rPr>
                <w:rFonts w:ascii="Arial" w:hAnsi="Arial" w:cs="Arial"/>
                <w:bCs/>
              </w:rPr>
            </w:pPr>
          </w:p>
        </w:tc>
      </w:tr>
      <w:tr>
        <w:trPr>
          <w:trHeight w:val="1417"/>
          <w:jc w:val="center"/>
        </w:trPr>
        <w:tc>
          <w:tcPr>
            <w:tcW w:w="4106" w:type="dxa"/>
            <w:vAlign w:val="center"/>
          </w:tcPr>
          <w:p>
            <w:pPr>
              <w:rPr>
                <w:rFonts w:ascii="Arial" w:eastAsia="Times New Roman" w:hAnsi="Arial" w:cs="Arial"/>
                <w:sz w:val="20"/>
              </w:rPr>
            </w:pPr>
            <w:r>
              <w:rPr>
                <w:rFonts w:ascii="Arial" w:eastAsia="Times New Roman" w:hAnsi="Arial" w:cs="Arial"/>
                <w:sz w:val="20"/>
              </w:rPr>
              <w:t>Joindre un tableau type de restitution communiqué à l’issue des études d’optimisation tarifaire.</w:t>
            </w:r>
          </w:p>
          <w:p>
            <w:pPr>
              <w:rPr>
                <w:rFonts w:ascii="Arial" w:eastAsia="Times New Roman" w:hAnsi="Arial" w:cs="Arial"/>
                <w:sz w:val="20"/>
              </w:rPr>
            </w:pPr>
            <w:r>
              <w:rPr>
                <w:rFonts w:ascii="Arial" w:eastAsia="Times New Roman" w:hAnsi="Arial" w:cs="Arial"/>
                <w:sz w:val="20"/>
              </w:rPr>
              <w:t>Seront appréciées la complétude et la précision des données y figurant.</w:t>
            </w:r>
          </w:p>
        </w:tc>
        <w:tc>
          <w:tcPr>
            <w:tcW w:w="5821" w:type="dxa"/>
            <w:shd w:val="clear" w:color="auto" w:fill="EAF1DD" w:themeFill="accent3" w:themeFillTint="33"/>
            <w:vAlign w:val="center"/>
          </w:tcPr>
          <w:p>
            <w:pPr>
              <w:rPr>
                <w:rFonts w:ascii="Arial" w:hAnsi="Arial" w:cs="Arial"/>
                <w:bCs/>
              </w:rPr>
            </w:pPr>
          </w:p>
        </w:tc>
      </w:tr>
      <w:tr>
        <w:trPr>
          <w:trHeight w:val="454"/>
          <w:jc w:val="center"/>
        </w:trPr>
        <w:tc>
          <w:tcPr>
            <w:tcW w:w="9927" w:type="dxa"/>
            <w:gridSpan w:val="2"/>
            <w:shd w:val="clear" w:color="auto" w:fill="D9D9D9" w:themeFill="background1" w:themeFillShade="D9"/>
            <w:vAlign w:val="center"/>
          </w:tcPr>
          <w:p>
            <w:pPr>
              <w:pStyle w:val="western"/>
              <w:ind w:left="0"/>
              <w:jc w:val="left"/>
              <w:rPr>
                <w:rFonts w:eastAsia="Arial Unicode MS"/>
                <w:b/>
                <w:kern w:val="3"/>
                <w:sz w:val="21"/>
                <w:szCs w:val="21"/>
                <w:lang w:eastAsia="zh-CN"/>
              </w:rPr>
            </w:pPr>
            <w:bookmarkStart w:id="1" w:name="_Hlk195624122"/>
            <w:r>
              <w:rPr>
                <w:rFonts w:eastAsia="Arial Unicode MS"/>
                <w:b/>
                <w:kern w:val="3"/>
                <w:sz w:val="21"/>
                <w:szCs w:val="21"/>
                <w:lang w:eastAsia="zh-CN"/>
              </w:rPr>
              <w:t>Performance économique de l’approvisionnement sur le marché de gros</w:t>
            </w:r>
          </w:p>
        </w:tc>
      </w:tr>
      <w:tr>
        <w:trPr>
          <w:trHeight w:val="1417"/>
          <w:jc w:val="center"/>
        </w:trPr>
        <w:tc>
          <w:tcPr>
            <w:tcW w:w="4106" w:type="dxa"/>
            <w:vAlign w:val="center"/>
          </w:tcPr>
          <w:p>
            <w:pPr>
              <w:rPr>
                <w:rFonts w:ascii="Arial" w:eastAsia="Times New Roman" w:hAnsi="Arial" w:cs="Arial"/>
                <w:sz w:val="20"/>
              </w:rPr>
            </w:pPr>
            <w:r>
              <w:rPr>
                <w:rFonts w:ascii="Arial" w:eastAsia="Times New Roman" w:hAnsi="Arial" w:cs="Arial"/>
                <w:sz w:val="20"/>
              </w:rPr>
              <w:t>Capacités d’accès aux marchés de gros (salle des marchés, …)</w:t>
            </w:r>
          </w:p>
        </w:tc>
        <w:tc>
          <w:tcPr>
            <w:tcW w:w="5821" w:type="dxa"/>
            <w:shd w:val="clear" w:color="auto" w:fill="EAF1DD" w:themeFill="accent3" w:themeFillTint="33"/>
            <w:vAlign w:val="center"/>
          </w:tcPr>
          <w:p>
            <w:pPr>
              <w:rPr>
                <w:rFonts w:ascii="Arial" w:hAnsi="Arial" w:cs="Arial"/>
                <w:bCs/>
              </w:rPr>
            </w:pPr>
          </w:p>
        </w:tc>
      </w:tr>
      <w:bookmarkEnd w:id="1"/>
      <w:tr>
        <w:trPr>
          <w:trHeight w:val="1819"/>
          <w:jc w:val="center"/>
        </w:trPr>
        <w:tc>
          <w:tcPr>
            <w:tcW w:w="4106" w:type="dxa"/>
            <w:vAlign w:val="center"/>
          </w:tcPr>
          <w:p>
            <w:pPr>
              <w:spacing w:after="120"/>
              <w:rPr>
                <w:rFonts w:ascii="Arial" w:eastAsia="Times New Roman" w:hAnsi="Arial" w:cs="Arial"/>
                <w:sz w:val="20"/>
              </w:rPr>
            </w:pPr>
            <w:r>
              <w:rPr>
                <w:rFonts w:ascii="Arial" w:eastAsia="Times New Roman" w:hAnsi="Arial" w:cs="Arial"/>
                <w:sz w:val="20"/>
              </w:rPr>
              <w:t>Organisation en matière de trading :</w:t>
            </w:r>
          </w:p>
          <w:p>
            <w:pPr>
              <w:pStyle w:val="Paragraphedeliste"/>
              <w:numPr>
                <w:ilvl w:val="0"/>
                <w:numId w:val="20"/>
              </w:numPr>
              <w:spacing w:before="40" w:after="40"/>
              <w:ind w:left="306" w:hanging="221"/>
              <w:contextualSpacing w:val="0"/>
              <w:rPr>
                <w:rFonts w:ascii="Arial" w:eastAsia="Times New Roman" w:hAnsi="Arial" w:cs="Arial"/>
                <w:sz w:val="20"/>
              </w:rPr>
            </w:pPr>
            <w:r>
              <w:rPr>
                <w:rFonts w:ascii="Arial" w:eastAsia="Times New Roman" w:hAnsi="Arial" w:cs="Arial"/>
                <w:sz w:val="20"/>
              </w:rPr>
              <w:t>Ressources disponibles</w:t>
            </w:r>
          </w:p>
          <w:p>
            <w:pPr>
              <w:pStyle w:val="Paragraphedeliste"/>
              <w:numPr>
                <w:ilvl w:val="0"/>
                <w:numId w:val="20"/>
              </w:numPr>
              <w:ind w:left="306" w:hanging="219"/>
              <w:rPr>
                <w:rFonts w:ascii="Arial" w:eastAsia="Times New Roman" w:hAnsi="Arial" w:cs="Arial"/>
                <w:sz w:val="20"/>
              </w:rPr>
            </w:pPr>
            <w:r>
              <w:rPr>
                <w:rFonts w:ascii="Arial" w:eastAsia="Times New Roman" w:hAnsi="Arial" w:cs="Arial"/>
                <w:sz w:val="20"/>
              </w:rPr>
              <w:t>Nombre de contreparties régulières</w:t>
            </w:r>
          </w:p>
          <w:p>
            <w:pPr>
              <w:pStyle w:val="Paragraphedeliste"/>
              <w:numPr>
                <w:ilvl w:val="0"/>
                <w:numId w:val="20"/>
              </w:numPr>
              <w:spacing w:before="40"/>
              <w:ind w:left="306" w:hanging="221"/>
              <w:contextualSpacing w:val="0"/>
              <w:rPr>
                <w:rFonts w:ascii="Arial" w:eastAsia="Times New Roman" w:hAnsi="Arial" w:cs="Arial"/>
                <w:sz w:val="20"/>
              </w:rPr>
            </w:pPr>
            <w:r>
              <w:rPr>
                <w:rFonts w:ascii="Arial" w:eastAsia="Times New Roman" w:hAnsi="Arial" w:cs="Arial"/>
                <w:sz w:val="20"/>
              </w:rPr>
              <w:t xml:space="preserve">Interlocuteur dédié pour la </w:t>
            </w:r>
            <w:proofErr w:type="gramStart"/>
            <w:r>
              <w:rPr>
                <w:rFonts w:ascii="Arial" w:eastAsia="Times New Roman" w:hAnsi="Arial" w:cs="Arial"/>
                <w:sz w:val="20"/>
              </w:rPr>
              <w:t>DAE,…</w:t>
            </w:r>
            <w:proofErr w:type="gramEnd"/>
          </w:p>
        </w:tc>
        <w:tc>
          <w:tcPr>
            <w:tcW w:w="5821" w:type="dxa"/>
            <w:shd w:val="clear" w:color="auto" w:fill="EAF1DD" w:themeFill="accent3" w:themeFillTint="33"/>
            <w:vAlign w:val="center"/>
          </w:tcPr>
          <w:p>
            <w:pPr>
              <w:rPr>
                <w:rFonts w:ascii="Arial" w:hAnsi="Arial" w:cs="Arial"/>
                <w:bCs/>
              </w:rPr>
            </w:pPr>
          </w:p>
        </w:tc>
      </w:tr>
      <w:tr>
        <w:trPr>
          <w:trHeight w:val="1417"/>
          <w:jc w:val="center"/>
        </w:trPr>
        <w:tc>
          <w:tcPr>
            <w:tcW w:w="4106" w:type="dxa"/>
            <w:vAlign w:val="center"/>
          </w:tcPr>
          <w:p>
            <w:pPr>
              <w:rPr>
                <w:rFonts w:ascii="Arial" w:eastAsia="Times New Roman" w:hAnsi="Arial" w:cs="Arial"/>
                <w:sz w:val="20"/>
                <w:szCs w:val="20"/>
              </w:rPr>
            </w:pPr>
            <w:r>
              <w:rPr>
                <w:rFonts w:ascii="Arial" w:hAnsi="Arial" w:cs="Arial"/>
                <w:sz w:val="20"/>
                <w:szCs w:val="20"/>
              </w:rPr>
              <w:lastRenderedPageBreak/>
              <w:t xml:space="preserve">Présentation détaillée </w:t>
            </w:r>
            <w:r>
              <w:rPr>
                <w:rFonts w:ascii="Arial" w:eastAsia="Times New Roman" w:hAnsi="Arial" w:cs="Arial"/>
                <w:sz w:val="20"/>
                <w:szCs w:val="20"/>
              </w:rPr>
              <w:t>de l’organisation mise en place pour assurer la bonne réception des blocs tiers (pour le lot E1 uniquement)</w:t>
            </w:r>
          </w:p>
        </w:tc>
        <w:tc>
          <w:tcPr>
            <w:tcW w:w="5821" w:type="dxa"/>
            <w:shd w:val="clear" w:color="auto" w:fill="EAF1DD" w:themeFill="accent3" w:themeFillTint="33"/>
            <w:vAlign w:val="center"/>
          </w:tcPr>
          <w:p>
            <w:pPr>
              <w:rPr>
                <w:rFonts w:ascii="Arial" w:hAnsi="Arial" w:cs="Arial"/>
                <w:bCs/>
              </w:rPr>
            </w:pPr>
          </w:p>
        </w:tc>
      </w:tr>
      <w:tr>
        <w:trPr>
          <w:trHeight w:val="1657"/>
          <w:jc w:val="center"/>
        </w:trPr>
        <w:tc>
          <w:tcPr>
            <w:tcW w:w="4106" w:type="dxa"/>
            <w:vAlign w:val="center"/>
          </w:tcPr>
          <w:p>
            <w:pPr>
              <w:rPr>
                <w:rFonts w:ascii="Arial" w:eastAsia="Times New Roman" w:hAnsi="Arial" w:cs="Arial"/>
                <w:sz w:val="20"/>
              </w:rPr>
            </w:pPr>
            <w:r>
              <w:rPr>
                <w:rFonts w:ascii="Arial" w:eastAsia="Times New Roman" w:hAnsi="Arial" w:cs="Arial"/>
                <w:sz w:val="20"/>
              </w:rPr>
              <w:t xml:space="preserve">Solutions d’ingénierie proposées pour la réalisation des couvertures à lister de façon exhaustive (prises de position en temps réel avec le front office, ordre conditionnel sur cible, …) en en précisant les modalités de mise en œuvre </w:t>
            </w:r>
          </w:p>
        </w:tc>
        <w:tc>
          <w:tcPr>
            <w:tcW w:w="5821" w:type="dxa"/>
            <w:shd w:val="clear" w:color="auto" w:fill="EAF1DD" w:themeFill="accent3" w:themeFillTint="33"/>
            <w:vAlign w:val="center"/>
          </w:tcPr>
          <w:p>
            <w:pPr>
              <w:rPr>
                <w:rFonts w:ascii="Arial" w:hAnsi="Arial" w:cs="Arial"/>
                <w:bCs/>
              </w:rPr>
            </w:pPr>
          </w:p>
        </w:tc>
      </w:tr>
      <w:tr>
        <w:trPr>
          <w:trHeight w:val="454"/>
          <w:jc w:val="center"/>
        </w:trPr>
        <w:tc>
          <w:tcPr>
            <w:tcW w:w="9927" w:type="dxa"/>
            <w:gridSpan w:val="2"/>
            <w:tcBorders>
              <w:top w:val="nil"/>
            </w:tcBorders>
            <w:shd w:val="clear" w:color="auto" w:fill="B8CCE4" w:themeFill="accent1" w:themeFillTint="66"/>
            <w:vAlign w:val="center"/>
          </w:tcPr>
          <w:p>
            <w:pPr>
              <w:pStyle w:val="western"/>
              <w:ind w:left="0"/>
              <w:jc w:val="left"/>
              <w:rPr>
                <w:rFonts w:eastAsia="Arial Unicode MS"/>
                <w:b/>
                <w:kern w:val="3"/>
                <w:sz w:val="21"/>
                <w:szCs w:val="21"/>
                <w:lang w:eastAsia="zh-CN"/>
              </w:rPr>
            </w:pPr>
            <w:r>
              <w:rPr>
                <w:rFonts w:eastAsia="Arial Unicode MS"/>
                <w:b/>
                <w:kern w:val="3"/>
                <w:sz w:val="21"/>
                <w:szCs w:val="21"/>
                <w:lang w:eastAsia="zh-CN"/>
              </w:rPr>
              <w:t>Critère valeur environnementale</w:t>
            </w:r>
          </w:p>
        </w:tc>
      </w:tr>
      <w:tr>
        <w:trPr>
          <w:trHeight w:val="4172"/>
          <w:jc w:val="center"/>
        </w:trPr>
        <w:tc>
          <w:tcPr>
            <w:tcW w:w="4106" w:type="dxa"/>
            <w:shd w:val="clear" w:color="auto" w:fill="auto"/>
            <w:vAlign w:val="center"/>
          </w:tcPr>
          <w:p>
            <w:pPr>
              <w:rPr>
                <w:rFonts w:ascii="Arial" w:hAnsi="Arial" w:cs="Arial"/>
                <w:sz w:val="20"/>
                <w:szCs w:val="20"/>
              </w:rPr>
            </w:pPr>
            <w:r>
              <w:rPr>
                <w:rFonts w:ascii="Arial" w:hAnsi="Arial" w:cs="Arial"/>
                <w:b/>
                <w:bCs/>
                <w:sz w:val="20"/>
                <w:szCs w:val="20"/>
              </w:rPr>
              <w:t>Pour les lots gaz uniquement</w:t>
            </w:r>
            <w:r>
              <w:rPr>
                <w:rFonts w:ascii="Arial" w:hAnsi="Arial" w:cs="Arial"/>
                <w:sz w:val="20"/>
                <w:szCs w:val="20"/>
              </w:rPr>
              <w:t> :</w:t>
            </w:r>
          </w:p>
          <w:p>
            <w:pPr>
              <w:spacing w:before="120"/>
              <w:rPr>
                <w:rFonts w:ascii="Arial" w:hAnsi="Arial" w:cs="Arial"/>
                <w:sz w:val="20"/>
                <w:szCs w:val="20"/>
              </w:rPr>
            </w:pPr>
            <w:r>
              <w:rPr>
                <w:rFonts w:ascii="Arial" w:hAnsi="Arial" w:cs="Arial"/>
                <w:sz w:val="20"/>
                <w:szCs w:val="20"/>
              </w:rPr>
              <w:t>Présentation de la stratégie en matière de sourcing et de soutien à la filière biométhane afin notamment de se conformer à l’obligation de restitution des Certificats de Production de Biométhane sans être visé par la pénalité prévue au Code de l’Energie</w:t>
            </w:r>
          </w:p>
          <w:p>
            <w:pPr>
              <w:rPr>
                <w:rFonts w:ascii="Arial" w:hAnsi="Arial" w:cs="Arial"/>
                <w:sz w:val="20"/>
                <w:szCs w:val="20"/>
              </w:rPr>
            </w:pPr>
            <w:r>
              <w:rPr>
                <w:rFonts w:ascii="Arial" w:hAnsi="Arial" w:cs="Arial"/>
                <w:sz w:val="20"/>
                <w:szCs w:val="20"/>
              </w:rPr>
              <w:t>(Investissements réalisés dans les projets de production de biométhane en précisant les volumes des projets déjà en injection et les volumes des projets signés et si certains de ces projets ont vocation à répondre à l’obligation de CPB, nombre de contreparties avec lesquelles le candidat dispose d’accords pour la fourniture de biométhane + GO / CPB, …)</w:t>
            </w:r>
          </w:p>
        </w:tc>
        <w:tc>
          <w:tcPr>
            <w:tcW w:w="5821" w:type="dxa"/>
            <w:shd w:val="clear" w:color="auto" w:fill="EAF1DD" w:themeFill="accent3" w:themeFillTint="33"/>
            <w:vAlign w:val="center"/>
          </w:tcPr>
          <w:p>
            <w:pPr>
              <w:pStyle w:val="Commentaire"/>
              <w:rPr>
                <w:rFonts w:ascii="Arial" w:eastAsia="Times New Roman" w:hAnsi="Arial" w:cs="Arial"/>
              </w:rPr>
            </w:pPr>
          </w:p>
        </w:tc>
      </w:tr>
      <w:tr>
        <w:trPr>
          <w:trHeight w:val="2181"/>
          <w:jc w:val="center"/>
        </w:trPr>
        <w:tc>
          <w:tcPr>
            <w:tcW w:w="4106" w:type="dxa"/>
            <w:shd w:val="clear" w:color="auto" w:fill="auto"/>
            <w:vAlign w:val="center"/>
          </w:tcPr>
          <w:p>
            <w:pPr>
              <w:spacing w:after="120"/>
              <w:rPr>
                <w:rFonts w:ascii="Arial" w:hAnsi="Arial" w:cs="Arial"/>
                <w:b/>
                <w:bCs/>
                <w:sz w:val="20"/>
                <w:szCs w:val="20"/>
              </w:rPr>
            </w:pPr>
            <w:r>
              <w:rPr>
                <w:rFonts w:ascii="Arial" w:hAnsi="Arial" w:cs="Arial"/>
                <w:b/>
                <w:bCs/>
                <w:sz w:val="20"/>
                <w:szCs w:val="20"/>
              </w:rPr>
              <w:t>Pour les lots gaz et électricité :</w:t>
            </w:r>
          </w:p>
          <w:p>
            <w:pPr>
              <w:rPr>
                <w:rFonts w:ascii="Arial" w:hAnsi="Arial" w:cs="Arial"/>
                <w:sz w:val="20"/>
                <w:szCs w:val="20"/>
              </w:rPr>
            </w:pPr>
            <w:r>
              <w:rPr>
                <w:rFonts w:ascii="Arial" w:hAnsi="Arial" w:cs="Arial"/>
                <w:sz w:val="20"/>
                <w:szCs w:val="20"/>
              </w:rPr>
              <w:t xml:space="preserve">Joindre le document de </w:t>
            </w:r>
            <w:proofErr w:type="spellStart"/>
            <w:r>
              <w:rPr>
                <w:rFonts w:ascii="Arial" w:hAnsi="Arial" w:cs="Arial"/>
                <w:sz w:val="20"/>
                <w:szCs w:val="20"/>
              </w:rPr>
              <w:t>reporting</w:t>
            </w:r>
            <w:proofErr w:type="spellEnd"/>
            <w:r>
              <w:rPr>
                <w:rFonts w:ascii="Arial" w:hAnsi="Arial" w:cs="Arial"/>
                <w:sz w:val="20"/>
                <w:szCs w:val="20"/>
              </w:rPr>
              <w:t xml:space="preserve"> permettant d’attester l’origine renouvelable de la fourniture dans les proportions qui seront mentionnées dans les conditions spécifiques des marchés subséquents </w:t>
            </w:r>
          </w:p>
        </w:tc>
        <w:tc>
          <w:tcPr>
            <w:tcW w:w="5821" w:type="dxa"/>
            <w:shd w:val="clear" w:color="auto" w:fill="EAF1DD" w:themeFill="accent3" w:themeFillTint="33"/>
            <w:vAlign w:val="center"/>
          </w:tcPr>
          <w:p>
            <w:pPr>
              <w:rPr>
                <w:rFonts w:ascii="Arial" w:eastAsia="Times New Roman" w:hAnsi="Arial" w:cs="Arial"/>
                <w:sz w:val="20"/>
              </w:rPr>
            </w:pPr>
          </w:p>
        </w:tc>
      </w:tr>
      <w:tr>
        <w:trPr>
          <w:trHeight w:val="3351"/>
          <w:jc w:val="center"/>
        </w:trPr>
        <w:tc>
          <w:tcPr>
            <w:tcW w:w="4106" w:type="dxa"/>
            <w:shd w:val="clear" w:color="auto" w:fill="auto"/>
            <w:vAlign w:val="center"/>
          </w:tcPr>
          <w:p>
            <w:pPr>
              <w:spacing w:after="120"/>
              <w:rPr>
                <w:rFonts w:ascii="Arial" w:hAnsi="Arial" w:cs="Arial"/>
                <w:b/>
                <w:bCs/>
                <w:sz w:val="20"/>
                <w:szCs w:val="20"/>
              </w:rPr>
            </w:pPr>
            <w:r>
              <w:rPr>
                <w:rFonts w:ascii="Arial" w:hAnsi="Arial" w:cs="Arial"/>
                <w:b/>
                <w:bCs/>
                <w:sz w:val="20"/>
                <w:szCs w:val="20"/>
              </w:rPr>
              <w:t>Pour les lots gaz et électricité :</w:t>
            </w:r>
          </w:p>
          <w:p>
            <w:pPr>
              <w:rPr>
                <w:rFonts w:ascii="Arial" w:hAnsi="Arial" w:cs="Arial"/>
                <w:sz w:val="20"/>
                <w:szCs w:val="20"/>
              </w:rPr>
            </w:pPr>
            <w:r>
              <w:rPr>
                <w:rFonts w:ascii="Arial" w:hAnsi="Arial" w:cs="Arial"/>
                <w:sz w:val="20"/>
                <w:szCs w:val="20"/>
              </w:rPr>
              <w:t xml:space="preserve">Contenu du bilan annuel environnemental des consommations réalisées : </w:t>
            </w:r>
          </w:p>
          <w:p>
            <w:pPr>
              <w:pStyle w:val="Paragraphedeliste"/>
              <w:numPr>
                <w:ilvl w:val="0"/>
                <w:numId w:val="21"/>
              </w:numPr>
              <w:spacing w:before="120"/>
              <w:ind w:left="714" w:hanging="357"/>
              <w:contextualSpacing w:val="0"/>
              <w:rPr>
                <w:rFonts w:ascii="Arial" w:hAnsi="Arial" w:cs="Arial"/>
                <w:sz w:val="20"/>
                <w:szCs w:val="20"/>
              </w:rPr>
            </w:pPr>
            <w:r>
              <w:rPr>
                <w:rFonts w:ascii="Arial" w:hAnsi="Arial" w:cs="Arial"/>
                <w:sz w:val="20"/>
                <w:szCs w:val="20"/>
              </w:rPr>
              <w:t>Liste des données et indicateurs communiqués (joindre un exemple de rapport le cas échéant)</w:t>
            </w:r>
          </w:p>
          <w:p>
            <w:pPr>
              <w:pStyle w:val="Paragraphedeliste"/>
              <w:numPr>
                <w:ilvl w:val="0"/>
                <w:numId w:val="21"/>
              </w:numPr>
              <w:spacing w:before="120"/>
              <w:ind w:left="714" w:hanging="357"/>
              <w:contextualSpacing w:val="0"/>
              <w:rPr>
                <w:rFonts w:ascii="Arial" w:hAnsi="Arial" w:cs="Arial"/>
                <w:sz w:val="20"/>
                <w:szCs w:val="20"/>
              </w:rPr>
            </w:pPr>
            <w:r>
              <w:rPr>
                <w:rFonts w:ascii="Arial" w:hAnsi="Arial" w:cs="Arial"/>
                <w:sz w:val="20"/>
                <w:szCs w:val="20"/>
              </w:rPr>
              <w:t xml:space="preserve">Modalités de calcul </w:t>
            </w:r>
            <w:r>
              <w:rPr>
                <w:rFonts w:ascii="Arial" w:eastAsia="Andale Sans UI" w:hAnsi="Arial" w:cs="Tahoma"/>
                <w:kern w:val="2"/>
                <w:sz w:val="20"/>
                <w:szCs w:val="18"/>
                <w:lang w:eastAsia="ja-JP" w:bidi="fa-IR"/>
              </w:rPr>
              <w:t>des émissions de gaz à effet de serre générées par les consommations réalisées (en particulier, facteurs d’émission utilisés et base de données dont ils sont issus)</w:t>
            </w:r>
          </w:p>
        </w:tc>
        <w:tc>
          <w:tcPr>
            <w:tcW w:w="5821" w:type="dxa"/>
            <w:shd w:val="clear" w:color="auto" w:fill="EAF1DD" w:themeFill="accent3" w:themeFillTint="33"/>
            <w:vAlign w:val="center"/>
          </w:tcPr>
          <w:p>
            <w:pPr>
              <w:rPr>
                <w:rFonts w:ascii="Arial" w:eastAsia="Times New Roman" w:hAnsi="Arial" w:cs="Arial"/>
                <w:sz w:val="20"/>
              </w:rPr>
            </w:pPr>
          </w:p>
        </w:tc>
      </w:tr>
    </w:tbl>
    <w:p>
      <w:pPr>
        <w:spacing w:after="200" w:line="276" w:lineRule="auto"/>
        <w:rPr>
          <w:b/>
          <w:bCs/>
          <w:noProof/>
          <w:lang w:eastAsia="fr-FR"/>
        </w:rPr>
      </w:pPr>
      <w:r>
        <w:rPr>
          <w:b/>
          <w:bCs/>
          <w:noProof/>
          <w:lang w:eastAsia="fr-FR"/>
        </w:rPr>
        <w:br w:type="page"/>
      </w:r>
    </w:p>
    <w:p>
      <w:pPr>
        <w:jc w:val="center"/>
        <w:rPr>
          <w:b/>
          <w:bCs/>
          <w:noProof/>
          <w:lang w:eastAsia="fr-FR"/>
        </w:rPr>
      </w:pPr>
    </w:p>
    <w:p>
      <w:pPr>
        <w:jc w:val="center"/>
        <w:rPr>
          <w:b/>
          <w:bCs/>
          <w:noProof/>
          <w:lang w:eastAsia="fr-FR"/>
        </w:rPr>
      </w:pPr>
      <w:r>
        <w:rPr>
          <w:b/>
          <w:bCs/>
          <w:noProof/>
          <w:lang w:eastAsia="fr-FR"/>
        </w:rPr>
        <mc:AlternateContent>
          <mc:Choice Requires="wps">
            <w:drawing>
              <wp:anchor distT="0" distB="0" distL="114300" distR="114300" simplePos="0" relativeHeight="251657728" behindDoc="0" locked="0" layoutInCell="1" allowOverlap="1">
                <wp:simplePos x="0" y="0"/>
                <wp:positionH relativeFrom="column">
                  <wp:posOffset>-246380</wp:posOffset>
                </wp:positionH>
                <wp:positionV relativeFrom="paragraph">
                  <wp:posOffset>30811</wp:posOffset>
                </wp:positionV>
                <wp:extent cx="6225871" cy="405516"/>
                <wp:effectExtent l="0" t="0" r="22860" b="13970"/>
                <wp:wrapNone/>
                <wp:docPr id="1" name="Rectangle 1"/>
                <wp:cNvGraphicFramePr/>
                <a:graphic xmlns:a="http://schemas.openxmlformats.org/drawingml/2006/main">
                  <a:graphicData uri="http://schemas.microsoft.com/office/word/2010/wordprocessingShape">
                    <wps:wsp>
                      <wps:cNvSpPr/>
                      <wps:spPr>
                        <a:xfrm>
                          <a:off x="0" y="0"/>
                          <a:ext cx="6225871" cy="405516"/>
                        </a:xfrm>
                        <a:prstGeom prst="rect">
                          <a:avLst/>
                        </a:prstGeom>
                        <a:noFill/>
                        <a:ln>
                          <a:solidFill>
                            <a:schemeClr val="tx1">
                              <a:lumMod val="75000"/>
                              <a:lumOff val="2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0D5E06" id="Rectangle 1" o:spid="_x0000_s1026" style="position:absolute;margin-left:-19.4pt;margin-top:2.45pt;width:490.25pt;height:31.95pt;z-index:251657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" filled="f" strokecolor="#404040 [2429]" strokeweight="2pt"/>
            </w:pict>
          </mc:Fallback>
        </mc:AlternateContent>
      </w:r>
    </w:p>
    <w:p>
      <w:pPr>
        <w:jc w:val="center"/>
        <w:rPr>
          <w:b/>
          <w:bCs/>
        </w:rPr>
      </w:pPr>
      <w:r>
        <w:rPr>
          <w:b/>
          <w:bCs/>
        </w:rPr>
        <w:t>ANNEXES A JOINDRE A MINIMA</w:t>
      </w:r>
    </w:p>
    <w:p>
      <w:pPr>
        <w:jc w:val="both"/>
        <w:rPr>
          <w:b/>
          <w:bCs/>
        </w:rPr>
      </w:pPr>
    </w:p>
    <w:p>
      <w:pPr>
        <w:jc w:val="both"/>
        <w:rPr>
          <w:b/>
          <w:bCs/>
        </w:rPr>
      </w:pPr>
    </w:p>
    <w:p>
      <w:pPr>
        <w:jc w:val="both"/>
        <w:rPr>
          <w:rFonts w:ascii="Arial" w:eastAsia="Times New Roman" w:hAnsi="Arial" w:cs="Arial"/>
          <w:b/>
          <w:sz w:val="20"/>
        </w:rPr>
      </w:pPr>
    </w:p>
    <w:p>
      <w:pPr>
        <w:jc w:val="both"/>
        <w:rPr>
          <w:rFonts w:ascii="Arial" w:eastAsia="Times New Roman" w:hAnsi="Arial" w:cs="Arial"/>
          <w:b/>
          <w:sz w:val="20"/>
        </w:rPr>
      </w:pPr>
      <w:r>
        <w:rPr>
          <w:rFonts w:ascii="Arial" w:eastAsia="Times New Roman" w:hAnsi="Arial" w:cs="Arial"/>
          <w:b/>
          <w:sz w:val="20"/>
          <w:u w:val="single"/>
        </w:rPr>
        <w:t>Annexe 1</w:t>
      </w:r>
      <w:r>
        <w:rPr>
          <w:rFonts w:ascii="Arial" w:eastAsia="Times New Roman" w:hAnsi="Arial" w:cs="Arial"/>
          <w:b/>
          <w:sz w:val="20"/>
        </w:rPr>
        <w:t xml:space="preserve"> : </w:t>
      </w:r>
    </w:p>
    <w:p>
      <w:pPr>
        <w:jc w:val="both"/>
        <w:rPr>
          <w:rFonts w:ascii="Arial" w:eastAsia="Times New Roman" w:hAnsi="Arial" w:cs="Arial"/>
          <w:sz w:val="20"/>
        </w:rPr>
      </w:pPr>
    </w:p>
    <w:p>
      <w:pPr>
        <w:pStyle w:val="Paragraphedeliste"/>
        <w:numPr>
          <w:ilvl w:val="0"/>
          <w:numId w:val="11"/>
        </w:numPr>
        <w:ind w:left="709"/>
        <w:jc w:val="both"/>
        <w:rPr>
          <w:rFonts w:ascii="Arial" w:eastAsia="Times New Roman" w:hAnsi="Arial" w:cs="Arial"/>
          <w:sz w:val="20"/>
        </w:rPr>
      </w:pPr>
      <w:r>
        <w:rPr>
          <w:rFonts w:ascii="Arial" w:eastAsia="Times New Roman" w:hAnsi="Arial" w:cs="Arial"/>
          <w:sz w:val="20"/>
        </w:rPr>
        <w:t>Planning type des opérations préalables à la bascule</w:t>
      </w:r>
    </w:p>
    <w:p>
      <w:pPr>
        <w:jc w:val="both"/>
        <w:rPr>
          <w:rFonts w:ascii="Arial" w:eastAsia="Times New Roman" w:hAnsi="Arial" w:cs="Arial"/>
          <w:sz w:val="20"/>
        </w:rPr>
      </w:pPr>
    </w:p>
    <w:p>
      <w:pPr>
        <w:spacing w:before="120"/>
        <w:jc w:val="both"/>
        <w:rPr>
          <w:rFonts w:ascii="Arial" w:eastAsia="Times New Roman" w:hAnsi="Arial" w:cs="Arial"/>
          <w:b/>
          <w:sz w:val="20"/>
          <w:u w:val="single"/>
        </w:rPr>
      </w:pPr>
      <w:r>
        <w:rPr>
          <w:rFonts w:ascii="Arial" w:eastAsia="Times New Roman" w:hAnsi="Arial" w:cs="Arial"/>
          <w:b/>
          <w:sz w:val="20"/>
          <w:u w:val="single"/>
        </w:rPr>
        <w:t>Annexe 2 :</w:t>
      </w:r>
    </w:p>
    <w:p>
      <w:pPr>
        <w:jc w:val="both"/>
        <w:rPr>
          <w:rFonts w:ascii="Arial" w:eastAsia="Times New Roman" w:hAnsi="Arial" w:cs="Arial"/>
          <w:b/>
          <w:sz w:val="20"/>
          <w:u w:val="single"/>
        </w:rPr>
      </w:pPr>
    </w:p>
    <w:p>
      <w:pPr>
        <w:pStyle w:val="Paragraphedeliste"/>
        <w:numPr>
          <w:ilvl w:val="0"/>
          <w:numId w:val="11"/>
        </w:numPr>
        <w:ind w:left="709"/>
        <w:jc w:val="both"/>
        <w:rPr>
          <w:rFonts w:ascii="Arial" w:eastAsia="Times New Roman" w:hAnsi="Arial" w:cs="Arial"/>
          <w:sz w:val="20"/>
        </w:rPr>
      </w:pPr>
      <w:r>
        <w:rPr>
          <w:rFonts w:ascii="Arial" w:eastAsia="Times New Roman" w:hAnsi="Arial" w:cs="Arial"/>
          <w:sz w:val="20"/>
        </w:rPr>
        <w:t>Modèle de facture (et son annexe) concernant un unique point de livraison dématérialisée visualisable sur l’espace client</w:t>
      </w:r>
    </w:p>
    <w:p>
      <w:pPr>
        <w:ind w:left="709"/>
        <w:jc w:val="both"/>
        <w:rPr>
          <w:rFonts w:ascii="Arial" w:eastAsia="Times New Roman" w:hAnsi="Arial" w:cs="Arial"/>
          <w:sz w:val="20"/>
        </w:rPr>
      </w:pPr>
    </w:p>
    <w:p>
      <w:pPr>
        <w:pStyle w:val="Paragraphedeliste"/>
        <w:numPr>
          <w:ilvl w:val="0"/>
          <w:numId w:val="11"/>
        </w:numPr>
        <w:ind w:left="709"/>
        <w:jc w:val="both"/>
        <w:rPr>
          <w:rFonts w:ascii="Arial" w:eastAsia="Times New Roman" w:hAnsi="Arial" w:cs="Arial"/>
          <w:sz w:val="20"/>
        </w:rPr>
      </w:pPr>
      <w:r>
        <w:rPr>
          <w:rFonts w:ascii="Arial" w:eastAsia="Times New Roman" w:hAnsi="Arial" w:cs="Arial"/>
          <w:sz w:val="20"/>
        </w:rPr>
        <w:t xml:space="preserve">Exemple de facture </w:t>
      </w:r>
      <w:proofErr w:type="spellStart"/>
      <w:r>
        <w:rPr>
          <w:rFonts w:ascii="Arial" w:eastAsia="Times New Roman" w:hAnsi="Arial" w:cs="Arial"/>
          <w:sz w:val="20"/>
        </w:rPr>
        <w:t>multi-sites</w:t>
      </w:r>
      <w:proofErr w:type="spellEnd"/>
      <w:r>
        <w:rPr>
          <w:rFonts w:ascii="Arial" w:eastAsia="Times New Roman" w:hAnsi="Arial" w:cs="Arial"/>
          <w:sz w:val="20"/>
        </w:rPr>
        <w:t xml:space="preserve"> (et son annexe) dématérialisée visualisable sur l’espace client</w:t>
      </w:r>
    </w:p>
    <w:p>
      <w:pPr>
        <w:jc w:val="both"/>
        <w:rPr>
          <w:rFonts w:ascii="Arial" w:eastAsia="Times New Roman" w:hAnsi="Arial" w:cs="Arial"/>
          <w:sz w:val="20"/>
        </w:rPr>
      </w:pPr>
    </w:p>
    <w:p>
      <w:pPr>
        <w:jc w:val="both"/>
        <w:rPr>
          <w:rFonts w:ascii="Arial" w:eastAsia="Times New Roman" w:hAnsi="Arial" w:cs="Arial"/>
          <w:sz w:val="20"/>
        </w:rPr>
      </w:pPr>
    </w:p>
    <w:p>
      <w:pPr>
        <w:jc w:val="both"/>
        <w:rPr>
          <w:rFonts w:ascii="Arial" w:eastAsia="Times New Roman" w:hAnsi="Arial" w:cs="Arial"/>
          <w:b/>
          <w:sz w:val="20"/>
        </w:rPr>
      </w:pPr>
      <w:r>
        <w:rPr>
          <w:rFonts w:ascii="Arial" w:eastAsia="Times New Roman" w:hAnsi="Arial" w:cs="Arial"/>
          <w:b/>
          <w:sz w:val="20"/>
          <w:u w:val="single"/>
        </w:rPr>
        <w:t>Annexe 3</w:t>
      </w:r>
      <w:r>
        <w:rPr>
          <w:rFonts w:ascii="Arial" w:eastAsia="Times New Roman" w:hAnsi="Arial" w:cs="Arial"/>
          <w:b/>
          <w:sz w:val="20"/>
        </w:rPr>
        <w:t xml:space="preserve"> : </w:t>
      </w:r>
    </w:p>
    <w:p>
      <w:pPr>
        <w:jc w:val="both"/>
        <w:rPr>
          <w:rFonts w:ascii="Arial" w:eastAsia="Times New Roman" w:hAnsi="Arial" w:cs="Arial"/>
          <w:sz w:val="20"/>
        </w:rPr>
      </w:pPr>
    </w:p>
    <w:p>
      <w:pPr>
        <w:pStyle w:val="Paragraphedeliste"/>
        <w:numPr>
          <w:ilvl w:val="0"/>
          <w:numId w:val="15"/>
        </w:numPr>
        <w:jc w:val="both"/>
        <w:rPr>
          <w:b/>
          <w:bCs/>
        </w:rPr>
      </w:pPr>
      <w:r>
        <w:rPr>
          <w:rFonts w:ascii="Arial" w:eastAsia="Times New Roman" w:hAnsi="Arial" w:cs="Arial"/>
          <w:sz w:val="20"/>
        </w:rPr>
        <w:t>Présentation des fonctionnalités de l’outil de suivi en ligne avec copies d’écrans</w:t>
      </w:r>
    </w:p>
    <w:p>
      <w:pPr>
        <w:pStyle w:val="Paragraphedeliste"/>
        <w:jc w:val="both"/>
        <w:rPr>
          <w:b/>
          <w:bCs/>
        </w:rPr>
      </w:pPr>
    </w:p>
    <w:p>
      <w:pPr>
        <w:pStyle w:val="Paragraphedeliste"/>
        <w:numPr>
          <w:ilvl w:val="0"/>
          <w:numId w:val="15"/>
        </w:numPr>
        <w:ind w:left="714" w:hanging="357"/>
        <w:jc w:val="both"/>
        <w:rPr>
          <w:b/>
          <w:bCs/>
        </w:rPr>
      </w:pPr>
      <w:r>
        <w:rPr>
          <w:rFonts w:ascii="Arial" w:eastAsia="Times New Roman" w:hAnsi="Arial" w:cs="Arial"/>
          <w:sz w:val="20"/>
        </w:rPr>
        <w:t>Support pour la prise en main de l’outil de suivi en ligne</w:t>
      </w:r>
    </w:p>
    <w:p>
      <w:pPr>
        <w:pStyle w:val="Paragraphedeliste"/>
        <w:rPr>
          <w:b/>
          <w:bCs/>
        </w:rPr>
      </w:pPr>
    </w:p>
    <w:p>
      <w:pPr>
        <w:jc w:val="both"/>
        <w:rPr>
          <w:b/>
          <w:bCs/>
        </w:rPr>
      </w:pPr>
    </w:p>
    <w:p>
      <w:pPr>
        <w:jc w:val="both"/>
        <w:rPr>
          <w:rFonts w:ascii="Arial" w:eastAsia="Times New Roman" w:hAnsi="Arial" w:cs="Arial"/>
          <w:b/>
          <w:sz w:val="20"/>
          <w:u w:val="single"/>
        </w:rPr>
      </w:pPr>
      <w:r>
        <w:rPr>
          <w:rFonts w:ascii="Arial" w:eastAsia="Times New Roman" w:hAnsi="Arial" w:cs="Arial"/>
          <w:b/>
          <w:sz w:val="20"/>
          <w:u w:val="single"/>
        </w:rPr>
        <w:t>Annexe 4</w:t>
      </w:r>
      <w:r>
        <w:rPr>
          <w:rFonts w:ascii="Arial" w:eastAsia="Times New Roman" w:hAnsi="Arial" w:cs="Arial"/>
          <w:b/>
          <w:sz w:val="20"/>
        </w:rPr>
        <w:t> :</w:t>
      </w:r>
      <w:r>
        <w:rPr>
          <w:rFonts w:ascii="Arial" w:eastAsia="Times New Roman" w:hAnsi="Arial" w:cs="Arial"/>
          <w:b/>
          <w:sz w:val="20"/>
          <w:u w:val="single"/>
        </w:rPr>
        <w:t xml:space="preserve"> </w:t>
      </w:r>
    </w:p>
    <w:p>
      <w:pPr>
        <w:jc w:val="both"/>
        <w:rPr>
          <w:rFonts w:ascii="Arial" w:eastAsia="Times New Roman" w:hAnsi="Arial" w:cs="Arial"/>
          <w:sz w:val="20"/>
          <w:u w:val="single"/>
        </w:rPr>
      </w:pPr>
    </w:p>
    <w:p>
      <w:pPr>
        <w:pStyle w:val="Paragraphedeliste"/>
        <w:numPr>
          <w:ilvl w:val="0"/>
          <w:numId w:val="16"/>
        </w:numPr>
        <w:jc w:val="both"/>
        <w:rPr>
          <w:rFonts w:ascii="Arial" w:eastAsia="Times New Roman" w:hAnsi="Arial" w:cs="Arial"/>
          <w:sz w:val="20"/>
        </w:rPr>
      </w:pPr>
      <w:r>
        <w:rPr>
          <w:rFonts w:ascii="Arial" w:eastAsia="Times New Roman" w:hAnsi="Arial" w:cs="Arial"/>
          <w:sz w:val="20"/>
        </w:rPr>
        <w:t>Liste des ELD avec lesquelles un contrat GRD-F et/ou CAD est signé</w:t>
      </w:r>
    </w:p>
    <w:p>
      <w:pPr>
        <w:pStyle w:val="Paragraphedeliste"/>
        <w:numPr>
          <w:ilvl w:val="0"/>
          <w:numId w:val="16"/>
        </w:numPr>
        <w:spacing w:before="240"/>
        <w:ind w:left="714" w:hanging="357"/>
        <w:contextualSpacing w:val="0"/>
        <w:jc w:val="both"/>
        <w:rPr>
          <w:rFonts w:ascii="Arial" w:eastAsia="Times New Roman" w:hAnsi="Arial" w:cs="Arial"/>
          <w:sz w:val="20"/>
        </w:rPr>
      </w:pPr>
      <w:r>
        <w:rPr>
          <w:rFonts w:ascii="Arial" w:eastAsia="Times New Roman" w:hAnsi="Arial" w:cs="Arial"/>
          <w:sz w:val="20"/>
        </w:rPr>
        <w:t>Liste des ELD avec lesquelles un contrat GRD-F et/ou CAD est en cours de signature</w:t>
      </w:r>
    </w:p>
    <w:p>
      <w:pPr>
        <w:jc w:val="both"/>
        <w:rPr>
          <w:rFonts w:ascii="Arial" w:eastAsia="Times New Roman" w:hAnsi="Arial" w:cs="Arial"/>
          <w:sz w:val="20"/>
          <w:u w:val="single"/>
        </w:rPr>
      </w:pPr>
    </w:p>
    <w:p>
      <w:pPr>
        <w:jc w:val="both"/>
        <w:rPr>
          <w:rFonts w:ascii="Arial" w:eastAsia="Times New Roman" w:hAnsi="Arial" w:cs="Arial"/>
          <w:sz w:val="20"/>
          <w:u w:val="single"/>
        </w:rPr>
      </w:pPr>
    </w:p>
    <w:p>
      <w:pPr>
        <w:jc w:val="both"/>
        <w:rPr>
          <w:rFonts w:ascii="Arial" w:eastAsia="Times New Roman" w:hAnsi="Arial" w:cs="Arial"/>
          <w:b/>
          <w:bCs/>
          <w:sz w:val="20"/>
          <w:u w:val="single"/>
        </w:rPr>
      </w:pPr>
      <w:r>
        <w:rPr>
          <w:rFonts w:ascii="Arial" w:eastAsia="Times New Roman" w:hAnsi="Arial" w:cs="Arial"/>
          <w:b/>
          <w:bCs/>
          <w:sz w:val="20"/>
          <w:u w:val="single"/>
        </w:rPr>
        <w:t>Annexe 5 :</w:t>
      </w:r>
    </w:p>
    <w:p>
      <w:pPr>
        <w:jc w:val="both"/>
        <w:rPr>
          <w:rFonts w:ascii="Arial" w:eastAsia="Times New Roman" w:hAnsi="Arial" w:cs="Arial"/>
          <w:b/>
          <w:bCs/>
          <w:sz w:val="20"/>
          <w:u w:val="single"/>
        </w:rPr>
      </w:pPr>
    </w:p>
    <w:p>
      <w:pPr>
        <w:pStyle w:val="Paragraphedeliste"/>
        <w:numPr>
          <w:ilvl w:val="0"/>
          <w:numId w:val="16"/>
        </w:numPr>
        <w:jc w:val="both"/>
        <w:rPr>
          <w:rFonts w:ascii="Arial" w:eastAsia="Times New Roman" w:hAnsi="Arial" w:cs="Arial"/>
          <w:sz w:val="20"/>
        </w:rPr>
      </w:pPr>
      <w:r>
        <w:rPr>
          <w:rFonts w:ascii="Arial" w:eastAsia="Times New Roman" w:hAnsi="Arial" w:cs="Arial"/>
          <w:sz w:val="20"/>
        </w:rPr>
        <w:t>Tableau type de restitution communiqué à l’issue des études d’optimisation tarifaire</w:t>
      </w:r>
    </w:p>
    <w:p>
      <w:pPr>
        <w:jc w:val="both"/>
        <w:rPr>
          <w:rFonts w:ascii="Arial" w:eastAsia="Times New Roman" w:hAnsi="Arial" w:cs="Arial"/>
          <w:sz w:val="20"/>
        </w:rPr>
      </w:pPr>
    </w:p>
    <w:p>
      <w:pPr>
        <w:spacing w:before="240"/>
        <w:jc w:val="both"/>
        <w:rPr>
          <w:rFonts w:ascii="Arial" w:eastAsia="Times New Roman" w:hAnsi="Arial" w:cs="Arial"/>
          <w:b/>
          <w:bCs/>
          <w:sz w:val="20"/>
          <w:u w:val="single"/>
        </w:rPr>
      </w:pPr>
      <w:r>
        <w:rPr>
          <w:rFonts w:ascii="Arial" w:eastAsia="Times New Roman" w:hAnsi="Arial" w:cs="Arial"/>
          <w:b/>
          <w:bCs/>
          <w:sz w:val="20"/>
          <w:u w:val="single"/>
        </w:rPr>
        <w:t>Annexe 6 :</w:t>
      </w:r>
    </w:p>
    <w:p>
      <w:pPr>
        <w:jc w:val="both"/>
        <w:rPr>
          <w:rFonts w:ascii="Arial" w:eastAsia="Times New Roman" w:hAnsi="Arial" w:cs="Arial"/>
          <w:sz w:val="20"/>
        </w:rPr>
      </w:pPr>
    </w:p>
    <w:p>
      <w:pPr>
        <w:pStyle w:val="Paragraphedeliste"/>
        <w:numPr>
          <w:ilvl w:val="0"/>
          <w:numId w:val="16"/>
        </w:numPr>
        <w:jc w:val="both"/>
        <w:rPr>
          <w:rFonts w:ascii="Arial" w:eastAsia="Times New Roman" w:hAnsi="Arial" w:cs="Arial"/>
          <w:sz w:val="20"/>
          <w:u w:val="single"/>
        </w:rPr>
      </w:pPr>
      <w:r>
        <w:rPr>
          <w:rFonts w:ascii="Arial" w:eastAsia="Times New Roman" w:hAnsi="Arial" w:cs="Arial"/>
          <w:sz w:val="20"/>
        </w:rPr>
        <w:t xml:space="preserve">Exemple de </w:t>
      </w:r>
      <w:proofErr w:type="spellStart"/>
      <w:r>
        <w:rPr>
          <w:rFonts w:ascii="Arial" w:eastAsia="Times New Roman" w:hAnsi="Arial" w:cs="Arial"/>
          <w:sz w:val="20"/>
        </w:rPr>
        <w:t>reporting</w:t>
      </w:r>
      <w:proofErr w:type="spellEnd"/>
      <w:r>
        <w:rPr>
          <w:rFonts w:ascii="Arial" w:eastAsia="Times New Roman" w:hAnsi="Arial" w:cs="Arial"/>
          <w:sz w:val="20"/>
        </w:rPr>
        <w:t xml:space="preserve"> annuel </w:t>
      </w:r>
      <w:r>
        <w:t>permettant d’attester l’origine renouvelable de la fourniture</w:t>
      </w:r>
    </w:p>
    <w:p>
      <w:pPr>
        <w:jc w:val="both"/>
        <w:rPr>
          <w:rFonts w:ascii="Arial" w:eastAsia="Times New Roman" w:hAnsi="Arial" w:cs="Arial"/>
          <w:sz w:val="20"/>
          <w:u w:val="single"/>
        </w:rPr>
      </w:pPr>
    </w:p>
    <w:p>
      <w:pPr>
        <w:jc w:val="both"/>
        <w:rPr>
          <w:rFonts w:ascii="Arial" w:eastAsia="Times New Roman" w:hAnsi="Arial" w:cs="Arial"/>
          <w:sz w:val="20"/>
          <w:u w:val="single"/>
        </w:rPr>
      </w:pPr>
    </w:p>
    <w:p>
      <w:pPr>
        <w:jc w:val="both"/>
        <w:rPr>
          <w:rFonts w:ascii="Arial" w:eastAsia="Times New Roman" w:hAnsi="Arial" w:cs="Arial"/>
          <w:b/>
          <w:bCs/>
          <w:sz w:val="20"/>
          <w:u w:val="single"/>
        </w:rPr>
      </w:pPr>
      <w:r>
        <w:rPr>
          <w:rFonts w:ascii="Arial" w:eastAsia="Times New Roman" w:hAnsi="Arial" w:cs="Arial"/>
          <w:b/>
          <w:bCs/>
          <w:sz w:val="20"/>
          <w:u w:val="single"/>
        </w:rPr>
        <w:t>Annexe 7 :</w:t>
      </w:r>
    </w:p>
    <w:p>
      <w:pPr>
        <w:jc w:val="both"/>
        <w:rPr>
          <w:rFonts w:ascii="Arial" w:eastAsia="Times New Roman" w:hAnsi="Arial" w:cs="Arial"/>
          <w:sz w:val="20"/>
          <w:u w:val="single"/>
        </w:rPr>
      </w:pPr>
    </w:p>
    <w:p>
      <w:pPr>
        <w:pStyle w:val="Paragraphedeliste"/>
        <w:numPr>
          <w:ilvl w:val="0"/>
          <w:numId w:val="16"/>
        </w:numPr>
        <w:jc w:val="both"/>
        <w:rPr>
          <w:rFonts w:ascii="Arial" w:eastAsia="Times New Roman" w:hAnsi="Arial" w:cs="Arial"/>
          <w:sz w:val="20"/>
        </w:rPr>
      </w:pPr>
      <w:r>
        <w:rPr>
          <w:rFonts w:ascii="Arial" w:eastAsia="Times New Roman" w:hAnsi="Arial" w:cs="Arial"/>
          <w:sz w:val="20"/>
        </w:rPr>
        <w:t>Bilan annuel environnemental des consommations réalisées </w:t>
      </w:r>
    </w:p>
    <w:p>
      <w:pPr>
        <w:jc w:val="both"/>
        <w:rPr>
          <w:rFonts w:ascii="Arial" w:eastAsia="Times New Roman" w:hAnsi="Arial" w:cs="Arial"/>
          <w:b/>
          <w:sz w:val="20"/>
          <w:u w:val="single"/>
        </w:rPr>
      </w:pPr>
    </w:p>
    <w:p>
      <w:pPr>
        <w:jc w:val="both"/>
        <w:rPr>
          <w:rFonts w:ascii="Arial" w:eastAsia="Times New Roman" w:hAnsi="Arial" w:cs="Arial"/>
          <w:b/>
          <w:sz w:val="20"/>
          <w:u w:val="single"/>
        </w:rPr>
      </w:pPr>
    </w:p>
    <w:p>
      <w:pPr>
        <w:jc w:val="both"/>
        <w:rPr>
          <w:rFonts w:ascii="Arial" w:eastAsia="Times New Roman" w:hAnsi="Arial" w:cs="Arial"/>
          <w:b/>
          <w:sz w:val="20"/>
          <w:u w:val="single"/>
        </w:rPr>
      </w:pPr>
    </w:p>
    <w:sectPr>
      <w:footerReference w:type="default" r:id="rId10"/>
      <w:pgSz w:w="11907" w:h="16839" w:code="9"/>
      <w:pgMar w:top="964" w:right="1418" w:bottom="709" w:left="1418" w:header="709" w:footer="4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dale Sans UI">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auto"/>
    <w:pitch w:val="variable"/>
    <w:sig w:usb0="0000000F"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Arial Gras">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2329812"/>
      <w:docPartObj>
        <w:docPartGallery w:val="Page Numbers (Bottom of Page)"/>
        <w:docPartUnique/>
      </w:docPartObj>
    </w:sdtPr>
    <w:sdtContent>
      <w:sdt>
        <w:sdtPr>
          <w:id w:val="1146783943"/>
          <w:docPartObj>
            <w:docPartGallery w:val="Page Numbers (Top of Page)"/>
            <w:docPartUnique/>
          </w:docPartObj>
        </w:sdtPr>
        <w:sdtContent>
          <w:p>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6</w:t>
            </w:r>
            <w:r>
              <w:rPr>
                <w:b/>
                <w:bCs/>
                <w:sz w:val="24"/>
                <w:szCs w:val="24"/>
              </w:rPr>
              <w:fldChar w:fldCharType="end"/>
            </w:r>
          </w:p>
        </w:sdtContent>
      </w:sdt>
    </w:sdtContent>
  </w:sdt>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A168A"/>
    <w:multiLevelType w:val="hybridMultilevel"/>
    <w:tmpl w:val="DE34FE4A"/>
    <w:lvl w:ilvl="0" w:tplc="B84CEEB2">
      <w:start w:val="5"/>
      <w:numFmt w:val="bullet"/>
      <w:lvlText w:val="-"/>
      <w:lvlJc w:val="left"/>
      <w:pPr>
        <w:ind w:left="360" w:hanging="360"/>
      </w:pPr>
      <w:rPr>
        <w:rFonts w:ascii="Calibri" w:eastAsia="Calibri" w:hAnsi="Calibri" w:cs="Times New Roman" w:hint="default"/>
        <w:color w:val="1F497D"/>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 w15:restartNumberingAfterBreak="0">
    <w:nsid w:val="15465C8D"/>
    <w:multiLevelType w:val="hybridMultilevel"/>
    <w:tmpl w:val="70364D7A"/>
    <w:lvl w:ilvl="0" w:tplc="C1568420">
      <w:start w:val="1"/>
      <w:numFmt w:val="decimal"/>
      <w:lvlText w:val="%1."/>
      <w:lvlJc w:val="left"/>
      <w:pPr>
        <w:tabs>
          <w:tab w:val="num" w:pos="720"/>
        </w:tabs>
        <w:ind w:left="720" w:hanging="360"/>
      </w:pPr>
    </w:lvl>
    <w:lvl w:ilvl="1" w:tplc="237A87D4">
      <w:start w:val="1"/>
      <w:numFmt w:val="decimal"/>
      <w:lvlText w:val="%2."/>
      <w:lvlJc w:val="left"/>
      <w:pPr>
        <w:tabs>
          <w:tab w:val="num" w:pos="1440"/>
        </w:tabs>
        <w:ind w:left="1440" w:hanging="360"/>
      </w:pPr>
    </w:lvl>
    <w:lvl w:ilvl="2" w:tplc="75C68D6A">
      <w:start w:val="1"/>
      <w:numFmt w:val="decimal"/>
      <w:lvlText w:val="%3."/>
      <w:lvlJc w:val="left"/>
      <w:pPr>
        <w:tabs>
          <w:tab w:val="num" w:pos="2160"/>
        </w:tabs>
        <w:ind w:left="2160" w:hanging="360"/>
      </w:pPr>
    </w:lvl>
    <w:lvl w:ilvl="3" w:tplc="805A8254">
      <w:start w:val="1"/>
      <w:numFmt w:val="decimal"/>
      <w:lvlText w:val="%4."/>
      <w:lvlJc w:val="left"/>
      <w:pPr>
        <w:tabs>
          <w:tab w:val="num" w:pos="2880"/>
        </w:tabs>
        <w:ind w:left="2880" w:hanging="360"/>
      </w:pPr>
    </w:lvl>
    <w:lvl w:ilvl="4" w:tplc="456EDB6A">
      <w:start w:val="1"/>
      <w:numFmt w:val="decimal"/>
      <w:lvlText w:val="%5."/>
      <w:lvlJc w:val="left"/>
      <w:pPr>
        <w:tabs>
          <w:tab w:val="num" w:pos="3600"/>
        </w:tabs>
        <w:ind w:left="3600" w:hanging="360"/>
      </w:pPr>
    </w:lvl>
    <w:lvl w:ilvl="5" w:tplc="15E684B2">
      <w:start w:val="1"/>
      <w:numFmt w:val="decimal"/>
      <w:lvlText w:val="%6."/>
      <w:lvlJc w:val="left"/>
      <w:pPr>
        <w:tabs>
          <w:tab w:val="num" w:pos="4320"/>
        </w:tabs>
        <w:ind w:left="4320" w:hanging="360"/>
      </w:pPr>
    </w:lvl>
    <w:lvl w:ilvl="6" w:tplc="085A9DB0">
      <w:start w:val="1"/>
      <w:numFmt w:val="decimal"/>
      <w:lvlText w:val="%7."/>
      <w:lvlJc w:val="left"/>
      <w:pPr>
        <w:tabs>
          <w:tab w:val="num" w:pos="5040"/>
        </w:tabs>
        <w:ind w:left="5040" w:hanging="360"/>
      </w:pPr>
    </w:lvl>
    <w:lvl w:ilvl="7" w:tplc="1474F756">
      <w:start w:val="1"/>
      <w:numFmt w:val="decimal"/>
      <w:lvlText w:val="%8."/>
      <w:lvlJc w:val="left"/>
      <w:pPr>
        <w:tabs>
          <w:tab w:val="num" w:pos="5760"/>
        </w:tabs>
        <w:ind w:left="5760" w:hanging="360"/>
      </w:pPr>
    </w:lvl>
    <w:lvl w:ilvl="8" w:tplc="52840356">
      <w:start w:val="1"/>
      <w:numFmt w:val="decimal"/>
      <w:lvlText w:val="%9."/>
      <w:lvlJc w:val="left"/>
      <w:pPr>
        <w:tabs>
          <w:tab w:val="num" w:pos="6480"/>
        </w:tabs>
        <w:ind w:left="6480" w:hanging="360"/>
      </w:pPr>
    </w:lvl>
  </w:abstractNum>
  <w:abstractNum w:abstractNumId="2" w15:restartNumberingAfterBreak="0">
    <w:nsid w:val="18605D90"/>
    <w:multiLevelType w:val="hybridMultilevel"/>
    <w:tmpl w:val="53AA1720"/>
    <w:lvl w:ilvl="0" w:tplc="C1568420">
      <w:start w:val="1"/>
      <w:numFmt w:val="decimal"/>
      <w:lvlText w:val="%1."/>
      <w:lvlJc w:val="left"/>
      <w:pPr>
        <w:tabs>
          <w:tab w:val="num" w:pos="360"/>
        </w:tabs>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15:restartNumberingAfterBreak="0">
    <w:nsid w:val="19256872"/>
    <w:multiLevelType w:val="hybridMultilevel"/>
    <w:tmpl w:val="4A0E55E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F6B1633"/>
    <w:multiLevelType w:val="hybridMultilevel"/>
    <w:tmpl w:val="759082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B01290"/>
    <w:multiLevelType w:val="hybridMultilevel"/>
    <w:tmpl w:val="B83ED04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70F2EA1"/>
    <w:multiLevelType w:val="hybridMultilevel"/>
    <w:tmpl w:val="1EDE98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373C29"/>
    <w:multiLevelType w:val="hybridMultilevel"/>
    <w:tmpl w:val="46FA380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36DB3F35"/>
    <w:multiLevelType w:val="hybridMultilevel"/>
    <w:tmpl w:val="E58245C8"/>
    <w:lvl w:ilvl="0" w:tplc="69F2EDD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712732D"/>
    <w:multiLevelType w:val="hybridMultilevel"/>
    <w:tmpl w:val="3D404434"/>
    <w:lvl w:ilvl="0" w:tplc="EBB88290">
      <w:numFmt w:val="bullet"/>
      <w:lvlText w:val=""/>
      <w:lvlJc w:val="left"/>
      <w:pPr>
        <w:ind w:left="720" w:hanging="360"/>
      </w:pPr>
      <w:rPr>
        <w:rFonts w:ascii="Wingdings" w:eastAsia="Andale Sans UI"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DDD77C1"/>
    <w:multiLevelType w:val="hybridMultilevel"/>
    <w:tmpl w:val="982E87CE"/>
    <w:lvl w:ilvl="0" w:tplc="1BB8B06C">
      <w:start w:val="10"/>
      <w:numFmt w:val="bullet"/>
      <w:lvlText w:val="-"/>
      <w:lvlJc w:val="left"/>
      <w:pPr>
        <w:ind w:left="360" w:hanging="360"/>
      </w:pPr>
      <w:rPr>
        <w:rFonts w:ascii="Calibri" w:eastAsiaTheme="minorHAnsi" w:hAnsi="Calibri"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40997F84"/>
    <w:multiLevelType w:val="hybridMultilevel"/>
    <w:tmpl w:val="9C7493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585506C"/>
    <w:multiLevelType w:val="hybridMultilevel"/>
    <w:tmpl w:val="F7D2CB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27C25DA"/>
    <w:multiLevelType w:val="hybridMultilevel"/>
    <w:tmpl w:val="299A4D1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55392546"/>
    <w:multiLevelType w:val="hybridMultilevel"/>
    <w:tmpl w:val="70364D7A"/>
    <w:lvl w:ilvl="0" w:tplc="C1568420">
      <w:start w:val="1"/>
      <w:numFmt w:val="decimal"/>
      <w:lvlText w:val="%1."/>
      <w:lvlJc w:val="left"/>
      <w:pPr>
        <w:tabs>
          <w:tab w:val="num" w:pos="720"/>
        </w:tabs>
        <w:ind w:left="720" w:hanging="360"/>
      </w:pPr>
    </w:lvl>
    <w:lvl w:ilvl="1" w:tplc="237A87D4">
      <w:start w:val="1"/>
      <w:numFmt w:val="decimal"/>
      <w:lvlText w:val="%2."/>
      <w:lvlJc w:val="left"/>
      <w:pPr>
        <w:tabs>
          <w:tab w:val="num" w:pos="1440"/>
        </w:tabs>
        <w:ind w:left="1440" w:hanging="360"/>
      </w:pPr>
    </w:lvl>
    <w:lvl w:ilvl="2" w:tplc="75C68D6A">
      <w:start w:val="1"/>
      <w:numFmt w:val="decimal"/>
      <w:lvlText w:val="%3."/>
      <w:lvlJc w:val="left"/>
      <w:pPr>
        <w:tabs>
          <w:tab w:val="num" w:pos="2160"/>
        </w:tabs>
        <w:ind w:left="2160" w:hanging="360"/>
      </w:pPr>
    </w:lvl>
    <w:lvl w:ilvl="3" w:tplc="805A8254">
      <w:start w:val="1"/>
      <w:numFmt w:val="decimal"/>
      <w:lvlText w:val="%4."/>
      <w:lvlJc w:val="left"/>
      <w:pPr>
        <w:tabs>
          <w:tab w:val="num" w:pos="2880"/>
        </w:tabs>
        <w:ind w:left="2880" w:hanging="360"/>
      </w:pPr>
    </w:lvl>
    <w:lvl w:ilvl="4" w:tplc="456EDB6A">
      <w:start w:val="1"/>
      <w:numFmt w:val="decimal"/>
      <w:lvlText w:val="%5."/>
      <w:lvlJc w:val="left"/>
      <w:pPr>
        <w:tabs>
          <w:tab w:val="num" w:pos="3600"/>
        </w:tabs>
        <w:ind w:left="3600" w:hanging="360"/>
      </w:pPr>
    </w:lvl>
    <w:lvl w:ilvl="5" w:tplc="15E684B2">
      <w:start w:val="1"/>
      <w:numFmt w:val="decimal"/>
      <w:lvlText w:val="%6."/>
      <w:lvlJc w:val="left"/>
      <w:pPr>
        <w:tabs>
          <w:tab w:val="num" w:pos="4320"/>
        </w:tabs>
        <w:ind w:left="4320" w:hanging="360"/>
      </w:pPr>
    </w:lvl>
    <w:lvl w:ilvl="6" w:tplc="085A9DB0">
      <w:start w:val="1"/>
      <w:numFmt w:val="decimal"/>
      <w:lvlText w:val="%7."/>
      <w:lvlJc w:val="left"/>
      <w:pPr>
        <w:tabs>
          <w:tab w:val="num" w:pos="5040"/>
        </w:tabs>
        <w:ind w:left="5040" w:hanging="360"/>
      </w:pPr>
    </w:lvl>
    <w:lvl w:ilvl="7" w:tplc="1474F756">
      <w:start w:val="1"/>
      <w:numFmt w:val="decimal"/>
      <w:lvlText w:val="%8."/>
      <w:lvlJc w:val="left"/>
      <w:pPr>
        <w:tabs>
          <w:tab w:val="num" w:pos="5760"/>
        </w:tabs>
        <w:ind w:left="5760" w:hanging="360"/>
      </w:pPr>
    </w:lvl>
    <w:lvl w:ilvl="8" w:tplc="52840356">
      <w:start w:val="1"/>
      <w:numFmt w:val="decimal"/>
      <w:lvlText w:val="%9."/>
      <w:lvlJc w:val="left"/>
      <w:pPr>
        <w:tabs>
          <w:tab w:val="num" w:pos="6480"/>
        </w:tabs>
        <w:ind w:left="6480" w:hanging="360"/>
      </w:pPr>
    </w:lvl>
  </w:abstractNum>
  <w:abstractNum w:abstractNumId="15" w15:restartNumberingAfterBreak="0">
    <w:nsid w:val="582538F9"/>
    <w:multiLevelType w:val="hybridMultilevel"/>
    <w:tmpl w:val="F134EA30"/>
    <w:lvl w:ilvl="0" w:tplc="59AA3298">
      <w:numFmt w:val="bullet"/>
      <w:lvlText w:val="-"/>
      <w:lvlJc w:val="left"/>
      <w:pPr>
        <w:ind w:left="1429" w:hanging="360"/>
      </w:pPr>
      <w:rPr>
        <w:rFonts w:ascii="Calibri" w:eastAsiaTheme="minorHAnsi" w:hAnsi="Calibri" w:cs="Calibri"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6" w15:restartNumberingAfterBreak="0">
    <w:nsid w:val="680C6F45"/>
    <w:multiLevelType w:val="hybridMultilevel"/>
    <w:tmpl w:val="E214C77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6C5422C0"/>
    <w:multiLevelType w:val="hybridMultilevel"/>
    <w:tmpl w:val="A39046AE"/>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8" w15:restartNumberingAfterBreak="0">
    <w:nsid w:val="6FD917CB"/>
    <w:multiLevelType w:val="hybridMultilevel"/>
    <w:tmpl w:val="D234A94E"/>
    <w:lvl w:ilvl="0" w:tplc="040C0001">
      <w:start w:val="1"/>
      <w:numFmt w:val="bullet"/>
      <w:lvlText w:val=""/>
      <w:lvlJc w:val="left"/>
      <w:pPr>
        <w:tabs>
          <w:tab w:val="num" w:pos="360"/>
        </w:tabs>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15:restartNumberingAfterBreak="0">
    <w:nsid w:val="7E8F77CC"/>
    <w:multiLevelType w:val="hybridMultilevel"/>
    <w:tmpl w:val="5CB4B7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1"/>
  </w:num>
  <w:num w:numId="4">
    <w:abstractNumId w:val="2"/>
  </w:num>
  <w:num w:numId="5">
    <w:abstractNumId w:val="18"/>
  </w:num>
  <w:num w:numId="6">
    <w:abstractNumId w:val="3"/>
  </w:num>
  <w:num w:numId="7">
    <w:abstractNumId w:val="7"/>
  </w:num>
  <w:num w:numId="8">
    <w:abstractNumId w:val="5"/>
  </w:num>
  <w:num w:numId="9">
    <w:abstractNumId w:val="10"/>
  </w:num>
  <w:num w:numId="10">
    <w:abstractNumId w:val="0"/>
  </w:num>
  <w:num w:numId="11">
    <w:abstractNumId w:val="13"/>
  </w:num>
  <w:num w:numId="12">
    <w:abstractNumId w:val="4"/>
  </w:num>
  <w:num w:numId="13">
    <w:abstractNumId w:val="19"/>
  </w:num>
  <w:num w:numId="14">
    <w:abstractNumId w:val="16"/>
  </w:num>
  <w:num w:numId="15">
    <w:abstractNumId w:val="12"/>
  </w:num>
  <w:num w:numId="16">
    <w:abstractNumId w:val="11"/>
  </w:num>
  <w:num w:numId="17">
    <w:abstractNumId w:val="9"/>
  </w:num>
  <w:num w:numId="18">
    <w:abstractNumId w:val="17"/>
  </w:num>
  <w:num w:numId="19">
    <w:abstractNumId w:val="15"/>
  </w:num>
  <w:num w:numId="20">
    <w:abstractNumId w:val="8"/>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AB0FD2F7-DE91-4D85-80DD-2FA4E2774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Calibri" w:hAnsi="Calibri" w:cs="Times New Roman"/>
    </w:rPr>
  </w:style>
  <w:style w:type="paragraph" w:styleId="Titre1">
    <w:name w:val="heading 1"/>
    <w:basedOn w:val="Normal"/>
    <w:next w:val="Normal"/>
    <w:link w:val="Titre1Car"/>
    <w:uiPriority w:val="9"/>
    <w:qFormat/>
    <w:pPr>
      <w:keepNext/>
      <w:spacing w:line="341" w:lineRule="auto"/>
      <w:ind w:left="442" w:right="488"/>
      <w:jc w:val="center"/>
      <w:outlineLvl w:val="0"/>
    </w:pPr>
    <w:rPr>
      <w:rFonts w:ascii="Marianne" w:eastAsia="Calibri" w:hAnsi="Marianne" w:cs="Arial"/>
      <w:b/>
      <w:color w:val="FF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pPr>
      <w:ind w:left="720"/>
      <w:contextualSpacing/>
    </w:p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rPr>
      <w:rFonts w:ascii="Calibri" w:hAnsi="Calibri" w:cs="Times New Roman"/>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rPr>
      <w:rFonts w:ascii="Calibri" w:hAnsi="Calibri" w:cs="Times New Roman"/>
    </w:rPr>
  </w:style>
  <w:style w:type="paragraph" w:styleId="Textedebulles">
    <w:name w:val="Balloon Text"/>
    <w:basedOn w:val="Normal"/>
    <w:link w:val="TextedebullesCar"/>
    <w:uiPriority w:val="99"/>
    <w:semiHidden/>
    <w:unhideWhenUsed/>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character" w:styleId="Lienhypertexte">
    <w:name w:val="Hyperlink"/>
    <w:basedOn w:val="Policepardfaut"/>
    <w:uiPriority w:val="99"/>
    <w:semiHidden/>
    <w:unhideWhenUsed/>
    <w:rPr>
      <w:color w:val="0000FF"/>
      <w:u w:val="single"/>
    </w:rPr>
  </w:style>
  <w:style w:type="paragraph" w:customStyle="1" w:styleId="Standard">
    <w:name w:val="Standard"/>
    <w:link w:val="StandardCar"/>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NormalWeb">
    <w:name w:val="Normal (Web)"/>
    <w:basedOn w:val="Standard"/>
    <w:uiPriority w:val="99"/>
    <w:pPr>
      <w:spacing w:before="280" w:after="280"/>
    </w:pPr>
    <w:rPr>
      <w:rFonts w:ascii="Arial Unicode MS" w:eastAsia="Arial Unicode MS" w:hAnsi="Arial Unicode MS" w:cs="Arial Unicode MS"/>
    </w:rPr>
  </w:style>
  <w:style w:type="character" w:customStyle="1" w:styleId="StandardCar">
    <w:name w:val="Standard Car"/>
    <w:link w:val="Standard"/>
    <w:rPr>
      <w:rFonts w:ascii="Times New Roman" w:eastAsia="Times New Roman" w:hAnsi="Times New Roman" w:cs="Times New Roman"/>
      <w:kern w:val="3"/>
      <w:sz w:val="24"/>
      <w:szCs w:val="24"/>
      <w:lang w:eastAsia="zh-CN"/>
    </w:r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rPr>
      <w:sz w:val="20"/>
      <w:szCs w:val="20"/>
    </w:rPr>
  </w:style>
  <w:style w:type="character" w:customStyle="1" w:styleId="CommentaireCar">
    <w:name w:val="Commentaire Car"/>
    <w:basedOn w:val="Policepardfaut"/>
    <w:link w:val="Commentaire"/>
    <w:uiPriority w:val="99"/>
    <w:rPr>
      <w:rFonts w:ascii="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Calibri" w:hAnsi="Calibri" w:cs="Times New Roman"/>
      <w:b/>
      <w:bCs/>
      <w:sz w:val="20"/>
      <w:szCs w:val="20"/>
    </w:rPr>
  </w:style>
  <w:style w:type="paragraph" w:customStyle="1" w:styleId="western">
    <w:name w:val="western"/>
    <w:basedOn w:val="Normal"/>
    <w:pPr>
      <w:ind w:left="567"/>
      <w:jc w:val="both"/>
    </w:pPr>
    <w:rPr>
      <w:rFonts w:ascii="Arial" w:eastAsia="Times New Roman" w:hAnsi="Arial" w:cs="Arial"/>
      <w:sz w:val="20"/>
      <w:szCs w:val="20"/>
      <w:lang w:eastAsia="fr-FR"/>
    </w:rPr>
  </w:style>
  <w:style w:type="paragraph" w:styleId="Corpsdetexte">
    <w:name w:val="Body Text"/>
    <w:basedOn w:val="Normal"/>
    <w:link w:val="CorpsdetexteCar"/>
    <w:autoRedefine/>
    <w:pPr>
      <w:keepLines/>
      <w:widowControl w:val="0"/>
      <w:spacing w:before="60" w:after="60"/>
      <w:ind w:left="709"/>
      <w:jc w:val="both"/>
      <w:textAlignment w:val="center"/>
    </w:pPr>
    <w:rPr>
      <w:rFonts w:ascii="Arial" w:eastAsia="Andale Sans UI" w:hAnsi="Arial" w:cs="Tahoma"/>
      <w:kern w:val="2"/>
      <w:sz w:val="18"/>
      <w:szCs w:val="18"/>
      <w:lang w:eastAsia="zh-CN" w:bidi="fa-IR"/>
    </w:rPr>
  </w:style>
  <w:style w:type="character" w:customStyle="1" w:styleId="CorpsdetexteCar">
    <w:name w:val="Corps de texte Car"/>
    <w:basedOn w:val="Policepardfaut"/>
    <w:link w:val="Corpsdetexte"/>
    <w:rPr>
      <w:rFonts w:ascii="Arial" w:eastAsia="Andale Sans UI" w:hAnsi="Arial" w:cs="Tahoma"/>
      <w:kern w:val="2"/>
      <w:sz w:val="18"/>
      <w:szCs w:val="18"/>
      <w:lang w:eastAsia="zh-CN" w:bidi="fa-IR"/>
    </w:rPr>
  </w:style>
  <w:style w:type="character" w:customStyle="1" w:styleId="Titre1Car">
    <w:name w:val="Titre 1 Car"/>
    <w:basedOn w:val="Policepardfaut"/>
    <w:link w:val="Titre1"/>
    <w:uiPriority w:val="9"/>
    <w:rPr>
      <w:rFonts w:ascii="Marianne" w:eastAsia="Calibri" w:hAnsi="Marianne" w:cs="Arial"/>
      <w:b/>
      <w:color w:val="FF0000"/>
    </w:rPr>
  </w:style>
  <w:style w:type="paragraph" w:styleId="Corpsdetexte2">
    <w:name w:val="Body Text 2"/>
    <w:basedOn w:val="Normal"/>
    <w:link w:val="Corpsdetexte2Car"/>
    <w:uiPriority w:val="99"/>
    <w:unhideWhenUsed/>
    <w:pPr>
      <w:jc w:val="both"/>
    </w:pPr>
    <w:rPr>
      <w:rFonts w:eastAsia="Times New Roman" w:cs="Calibri"/>
      <w:lang w:eastAsia="fr-FR"/>
    </w:rPr>
  </w:style>
  <w:style w:type="character" w:customStyle="1" w:styleId="Corpsdetexte2Car">
    <w:name w:val="Corps de texte 2 Car"/>
    <w:basedOn w:val="Policepardfaut"/>
    <w:link w:val="Corpsdetexte2"/>
    <w:uiPriority w:val="99"/>
    <w:rPr>
      <w:rFonts w:ascii="Calibri" w:eastAsia="Times New Roman" w:hAnsi="Calibri" w:cs="Calibri"/>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92187">
      <w:bodyDiv w:val="1"/>
      <w:marLeft w:val="0"/>
      <w:marRight w:val="0"/>
      <w:marTop w:val="0"/>
      <w:marBottom w:val="0"/>
      <w:divBdr>
        <w:top w:val="none" w:sz="0" w:space="0" w:color="auto"/>
        <w:left w:val="none" w:sz="0" w:space="0" w:color="auto"/>
        <w:bottom w:val="none" w:sz="0" w:space="0" w:color="auto"/>
        <w:right w:val="none" w:sz="0" w:space="0" w:color="auto"/>
      </w:divBdr>
    </w:div>
    <w:div w:id="55710816">
      <w:bodyDiv w:val="1"/>
      <w:marLeft w:val="0"/>
      <w:marRight w:val="0"/>
      <w:marTop w:val="0"/>
      <w:marBottom w:val="0"/>
      <w:divBdr>
        <w:top w:val="none" w:sz="0" w:space="0" w:color="auto"/>
        <w:left w:val="none" w:sz="0" w:space="0" w:color="auto"/>
        <w:bottom w:val="none" w:sz="0" w:space="0" w:color="auto"/>
        <w:right w:val="none" w:sz="0" w:space="0" w:color="auto"/>
      </w:divBdr>
    </w:div>
    <w:div w:id="203754799">
      <w:bodyDiv w:val="1"/>
      <w:marLeft w:val="0"/>
      <w:marRight w:val="0"/>
      <w:marTop w:val="0"/>
      <w:marBottom w:val="0"/>
      <w:divBdr>
        <w:top w:val="none" w:sz="0" w:space="0" w:color="auto"/>
        <w:left w:val="none" w:sz="0" w:space="0" w:color="auto"/>
        <w:bottom w:val="none" w:sz="0" w:space="0" w:color="auto"/>
        <w:right w:val="none" w:sz="0" w:space="0" w:color="auto"/>
      </w:divBdr>
    </w:div>
    <w:div w:id="209657697">
      <w:bodyDiv w:val="1"/>
      <w:marLeft w:val="0"/>
      <w:marRight w:val="0"/>
      <w:marTop w:val="0"/>
      <w:marBottom w:val="0"/>
      <w:divBdr>
        <w:top w:val="none" w:sz="0" w:space="0" w:color="auto"/>
        <w:left w:val="none" w:sz="0" w:space="0" w:color="auto"/>
        <w:bottom w:val="none" w:sz="0" w:space="0" w:color="auto"/>
        <w:right w:val="none" w:sz="0" w:space="0" w:color="auto"/>
      </w:divBdr>
    </w:div>
    <w:div w:id="217473926">
      <w:bodyDiv w:val="1"/>
      <w:marLeft w:val="0"/>
      <w:marRight w:val="0"/>
      <w:marTop w:val="0"/>
      <w:marBottom w:val="0"/>
      <w:divBdr>
        <w:top w:val="none" w:sz="0" w:space="0" w:color="auto"/>
        <w:left w:val="none" w:sz="0" w:space="0" w:color="auto"/>
        <w:bottom w:val="none" w:sz="0" w:space="0" w:color="auto"/>
        <w:right w:val="none" w:sz="0" w:space="0" w:color="auto"/>
      </w:divBdr>
    </w:div>
    <w:div w:id="247081242">
      <w:bodyDiv w:val="1"/>
      <w:marLeft w:val="0"/>
      <w:marRight w:val="0"/>
      <w:marTop w:val="0"/>
      <w:marBottom w:val="0"/>
      <w:divBdr>
        <w:top w:val="none" w:sz="0" w:space="0" w:color="auto"/>
        <w:left w:val="none" w:sz="0" w:space="0" w:color="auto"/>
        <w:bottom w:val="none" w:sz="0" w:space="0" w:color="auto"/>
        <w:right w:val="none" w:sz="0" w:space="0" w:color="auto"/>
      </w:divBdr>
    </w:div>
    <w:div w:id="294409152">
      <w:bodyDiv w:val="1"/>
      <w:marLeft w:val="0"/>
      <w:marRight w:val="0"/>
      <w:marTop w:val="0"/>
      <w:marBottom w:val="0"/>
      <w:divBdr>
        <w:top w:val="none" w:sz="0" w:space="0" w:color="auto"/>
        <w:left w:val="none" w:sz="0" w:space="0" w:color="auto"/>
        <w:bottom w:val="none" w:sz="0" w:space="0" w:color="auto"/>
        <w:right w:val="none" w:sz="0" w:space="0" w:color="auto"/>
      </w:divBdr>
    </w:div>
    <w:div w:id="297301395">
      <w:bodyDiv w:val="1"/>
      <w:marLeft w:val="0"/>
      <w:marRight w:val="0"/>
      <w:marTop w:val="0"/>
      <w:marBottom w:val="0"/>
      <w:divBdr>
        <w:top w:val="none" w:sz="0" w:space="0" w:color="auto"/>
        <w:left w:val="none" w:sz="0" w:space="0" w:color="auto"/>
        <w:bottom w:val="none" w:sz="0" w:space="0" w:color="auto"/>
        <w:right w:val="none" w:sz="0" w:space="0" w:color="auto"/>
      </w:divBdr>
    </w:div>
    <w:div w:id="309671324">
      <w:bodyDiv w:val="1"/>
      <w:marLeft w:val="0"/>
      <w:marRight w:val="0"/>
      <w:marTop w:val="0"/>
      <w:marBottom w:val="0"/>
      <w:divBdr>
        <w:top w:val="none" w:sz="0" w:space="0" w:color="auto"/>
        <w:left w:val="none" w:sz="0" w:space="0" w:color="auto"/>
        <w:bottom w:val="none" w:sz="0" w:space="0" w:color="auto"/>
        <w:right w:val="none" w:sz="0" w:space="0" w:color="auto"/>
      </w:divBdr>
    </w:div>
    <w:div w:id="312612806">
      <w:bodyDiv w:val="1"/>
      <w:marLeft w:val="0"/>
      <w:marRight w:val="0"/>
      <w:marTop w:val="0"/>
      <w:marBottom w:val="0"/>
      <w:divBdr>
        <w:top w:val="none" w:sz="0" w:space="0" w:color="auto"/>
        <w:left w:val="none" w:sz="0" w:space="0" w:color="auto"/>
        <w:bottom w:val="none" w:sz="0" w:space="0" w:color="auto"/>
        <w:right w:val="none" w:sz="0" w:space="0" w:color="auto"/>
      </w:divBdr>
    </w:div>
    <w:div w:id="381174650">
      <w:bodyDiv w:val="1"/>
      <w:marLeft w:val="0"/>
      <w:marRight w:val="0"/>
      <w:marTop w:val="0"/>
      <w:marBottom w:val="0"/>
      <w:divBdr>
        <w:top w:val="none" w:sz="0" w:space="0" w:color="auto"/>
        <w:left w:val="none" w:sz="0" w:space="0" w:color="auto"/>
        <w:bottom w:val="none" w:sz="0" w:space="0" w:color="auto"/>
        <w:right w:val="none" w:sz="0" w:space="0" w:color="auto"/>
      </w:divBdr>
    </w:div>
    <w:div w:id="456412932">
      <w:bodyDiv w:val="1"/>
      <w:marLeft w:val="0"/>
      <w:marRight w:val="0"/>
      <w:marTop w:val="0"/>
      <w:marBottom w:val="0"/>
      <w:divBdr>
        <w:top w:val="none" w:sz="0" w:space="0" w:color="auto"/>
        <w:left w:val="none" w:sz="0" w:space="0" w:color="auto"/>
        <w:bottom w:val="none" w:sz="0" w:space="0" w:color="auto"/>
        <w:right w:val="none" w:sz="0" w:space="0" w:color="auto"/>
      </w:divBdr>
    </w:div>
    <w:div w:id="500509720">
      <w:bodyDiv w:val="1"/>
      <w:marLeft w:val="0"/>
      <w:marRight w:val="0"/>
      <w:marTop w:val="0"/>
      <w:marBottom w:val="0"/>
      <w:divBdr>
        <w:top w:val="none" w:sz="0" w:space="0" w:color="auto"/>
        <w:left w:val="none" w:sz="0" w:space="0" w:color="auto"/>
        <w:bottom w:val="none" w:sz="0" w:space="0" w:color="auto"/>
        <w:right w:val="none" w:sz="0" w:space="0" w:color="auto"/>
      </w:divBdr>
    </w:div>
    <w:div w:id="562327672">
      <w:bodyDiv w:val="1"/>
      <w:marLeft w:val="0"/>
      <w:marRight w:val="0"/>
      <w:marTop w:val="0"/>
      <w:marBottom w:val="0"/>
      <w:divBdr>
        <w:top w:val="none" w:sz="0" w:space="0" w:color="auto"/>
        <w:left w:val="none" w:sz="0" w:space="0" w:color="auto"/>
        <w:bottom w:val="none" w:sz="0" w:space="0" w:color="auto"/>
        <w:right w:val="none" w:sz="0" w:space="0" w:color="auto"/>
      </w:divBdr>
    </w:div>
    <w:div w:id="663122068">
      <w:bodyDiv w:val="1"/>
      <w:marLeft w:val="0"/>
      <w:marRight w:val="0"/>
      <w:marTop w:val="0"/>
      <w:marBottom w:val="0"/>
      <w:divBdr>
        <w:top w:val="none" w:sz="0" w:space="0" w:color="auto"/>
        <w:left w:val="none" w:sz="0" w:space="0" w:color="auto"/>
        <w:bottom w:val="none" w:sz="0" w:space="0" w:color="auto"/>
        <w:right w:val="none" w:sz="0" w:space="0" w:color="auto"/>
      </w:divBdr>
    </w:div>
    <w:div w:id="753093491">
      <w:bodyDiv w:val="1"/>
      <w:marLeft w:val="0"/>
      <w:marRight w:val="0"/>
      <w:marTop w:val="0"/>
      <w:marBottom w:val="0"/>
      <w:divBdr>
        <w:top w:val="none" w:sz="0" w:space="0" w:color="auto"/>
        <w:left w:val="none" w:sz="0" w:space="0" w:color="auto"/>
        <w:bottom w:val="none" w:sz="0" w:space="0" w:color="auto"/>
        <w:right w:val="none" w:sz="0" w:space="0" w:color="auto"/>
      </w:divBdr>
    </w:div>
    <w:div w:id="783303006">
      <w:bodyDiv w:val="1"/>
      <w:marLeft w:val="0"/>
      <w:marRight w:val="0"/>
      <w:marTop w:val="0"/>
      <w:marBottom w:val="0"/>
      <w:divBdr>
        <w:top w:val="none" w:sz="0" w:space="0" w:color="auto"/>
        <w:left w:val="none" w:sz="0" w:space="0" w:color="auto"/>
        <w:bottom w:val="none" w:sz="0" w:space="0" w:color="auto"/>
        <w:right w:val="none" w:sz="0" w:space="0" w:color="auto"/>
      </w:divBdr>
    </w:div>
    <w:div w:id="846674564">
      <w:bodyDiv w:val="1"/>
      <w:marLeft w:val="0"/>
      <w:marRight w:val="0"/>
      <w:marTop w:val="0"/>
      <w:marBottom w:val="0"/>
      <w:divBdr>
        <w:top w:val="none" w:sz="0" w:space="0" w:color="auto"/>
        <w:left w:val="none" w:sz="0" w:space="0" w:color="auto"/>
        <w:bottom w:val="none" w:sz="0" w:space="0" w:color="auto"/>
        <w:right w:val="none" w:sz="0" w:space="0" w:color="auto"/>
      </w:divBdr>
    </w:div>
    <w:div w:id="924266182">
      <w:bodyDiv w:val="1"/>
      <w:marLeft w:val="0"/>
      <w:marRight w:val="0"/>
      <w:marTop w:val="0"/>
      <w:marBottom w:val="0"/>
      <w:divBdr>
        <w:top w:val="none" w:sz="0" w:space="0" w:color="auto"/>
        <w:left w:val="none" w:sz="0" w:space="0" w:color="auto"/>
        <w:bottom w:val="none" w:sz="0" w:space="0" w:color="auto"/>
        <w:right w:val="none" w:sz="0" w:space="0" w:color="auto"/>
      </w:divBdr>
    </w:div>
    <w:div w:id="940918483">
      <w:bodyDiv w:val="1"/>
      <w:marLeft w:val="0"/>
      <w:marRight w:val="0"/>
      <w:marTop w:val="0"/>
      <w:marBottom w:val="0"/>
      <w:divBdr>
        <w:top w:val="none" w:sz="0" w:space="0" w:color="auto"/>
        <w:left w:val="none" w:sz="0" w:space="0" w:color="auto"/>
        <w:bottom w:val="none" w:sz="0" w:space="0" w:color="auto"/>
        <w:right w:val="none" w:sz="0" w:space="0" w:color="auto"/>
      </w:divBdr>
    </w:div>
    <w:div w:id="944651719">
      <w:bodyDiv w:val="1"/>
      <w:marLeft w:val="0"/>
      <w:marRight w:val="0"/>
      <w:marTop w:val="0"/>
      <w:marBottom w:val="0"/>
      <w:divBdr>
        <w:top w:val="none" w:sz="0" w:space="0" w:color="auto"/>
        <w:left w:val="none" w:sz="0" w:space="0" w:color="auto"/>
        <w:bottom w:val="none" w:sz="0" w:space="0" w:color="auto"/>
        <w:right w:val="none" w:sz="0" w:space="0" w:color="auto"/>
      </w:divBdr>
    </w:div>
    <w:div w:id="982851628">
      <w:bodyDiv w:val="1"/>
      <w:marLeft w:val="0"/>
      <w:marRight w:val="0"/>
      <w:marTop w:val="0"/>
      <w:marBottom w:val="0"/>
      <w:divBdr>
        <w:top w:val="none" w:sz="0" w:space="0" w:color="auto"/>
        <w:left w:val="none" w:sz="0" w:space="0" w:color="auto"/>
        <w:bottom w:val="none" w:sz="0" w:space="0" w:color="auto"/>
        <w:right w:val="none" w:sz="0" w:space="0" w:color="auto"/>
      </w:divBdr>
    </w:div>
    <w:div w:id="1029911649">
      <w:bodyDiv w:val="1"/>
      <w:marLeft w:val="0"/>
      <w:marRight w:val="0"/>
      <w:marTop w:val="0"/>
      <w:marBottom w:val="0"/>
      <w:divBdr>
        <w:top w:val="none" w:sz="0" w:space="0" w:color="auto"/>
        <w:left w:val="none" w:sz="0" w:space="0" w:color="auto"/>
        <w:bottom w:val="none" w:sz="0" w:space="0" w:color="auto"/>
        <w:right w:val="none" w:sz="0" w:space="0" w:color="auto"/>
      </w:divBdr>
    </w:div>
    <w:div w:id="1080786693">
      <w:bodyDiv w:val="1"/>
      <w:marLeft w:val="0"/>
      <w:marRight w:val="0"/>
      <w:marTop w:val="0"/>
      <w:marBottom w:val="0"/>
      <w:divBdr>
        <w:top w:val="none" w:sz="0" w:space="0" w:color="auto"/>
        <w:left w:val="none" w:sz="0" w:space="0" w:color="auto"/>
        <w:bottom w:val="none" w:sz="0" w:space="0" w:color="auto"/>
        <w:right w:val="none" w:sz="0" w:space="0" w:color="auto"/>
      </w:divBdr>
    </w:div>
    <w:div w:id="1103260401">
      <w:bodyDiv w:val="1"/>
      <w:marLeft w:val="0"/>
      <w:marRight w:val="0"/>
      <w:marTop w:val="0"/>
      <w:marBottom w:val="0"/>
      <w:divBdr>
        <w:top w:val="none" w:sz="0" w:space="0" w:color="auto"/>
        <w:left w:val="none" w:sz="0" w:space="0" w:color="auto"/>
        <w:bottom w:val="none" w:sz="0" w:space="0" w:color="auto"/>
        <w:right w:val="none" w:sz="0" w:space="0" w:color="auto"/>
      </w:divBdr>
    </w:div>
    <w:div w:id="1140655281">
      <w:bodyDiv w:val="1"/>
      <w:marLeft w:val="0"/>
      <w:marRight w:val="0"/>
      <w:marTop w:val="0"/>
      <w:marBottom w:val="0"/>
      <w:divBdr>
        <w:top w:val="none" w:sz="0" w:space="0" w:color="auto"/>
        <w:left w:val="none" w:sz="0" w:space="0" w:color="auto"/>
        <w:bottom w:val="none" w:sz="0" w:space="0" w:color="auto"/>
        <w:right w:val="none" w:sz="0" w:space="0" w:color="auto"/>
      </w:divBdr>
    </w:div>
    <w:div w:id="1188254078">
      <w:bodyDiv w:val="1"/>
      <w:marLeft w:val="0"/>
      <w:marRight w:val="0"/>
      <w:marTop w:val="0"/>
      <w:marBottom w:val="0"/>
      <w:divBdr>
        <w:top w:val="none" w:sz="0" w:space="0" w:color="auto"/>
        <w:left w:val="none" w:sz="0" w:space="0" w:color="auto"/>
        <w:bottom w:val="none" w:sz="0" w:space="0" w:color="auto"/>
        <w:right w:val="none" w:sz="0" w:space="0" w:color="auto"/>
      </w:divBdr>
    </w:div>
    <w:div w:id="1212420604">
      <w:bodyDiv w:val="1"/>
      <w:marLeft w:val="0"/>
      <w:marRight w:val="0"/>
      <w:marTop w:val="0"/>
      <w:marBottom w:val="0"/>
      <w:divBdr>
        <w:top w:val="none" w:sz="0" w:space="0" w:color="auto"/>
        <w:left w:val="none" w:sz="0" w:space="0" w:color="auto"/>
        <w:bottom w:val="none" w:sz="0" w:space="0" w:color="auto"/>
        <w:right w:val="none" w:sz="0" w:space="0" w:color="auto"/>
      </w:divBdr>
    </w:div>
    <w:div w:id="1225989766">
      <w:bodyDiv w:val="1"/>
      <w:marLeft w:val="0"/>
      <w:marRight w:val="0"/>
      <w:marTop w:val="0"/>
      <w:marBottom w:val="0"/>
      <w:divBdr>
        <w:top w:val="none" w:sz="0" w:space="0" w:color="auto"/>
        <w:left w:val="none" w:sz="0" w:space="0" w:color="auto"/>
        <w:bottom w:val="none" w:sz="0" w:space="0" w:color="auto"/>
        <w:right w:val="none" w:sz="0" w:space="0" w:color="auto"/>
      </w:divBdr>
    </w:div>
    <w:div w:id="1237933023">
      <w:bodyDiv w:val="1"/>
      <w:marLeft w:val="0"/>
      <w:marRight w:val="0"/>
      <w:marTop w:val="0"/>
      <w:marBottom w:val="0"/>
      <w:divBdr>
        <w:top w:val="none" w:sz="0" w:space="0" w:color="auto"/>
        <w:left w:val="none" w:sz="0" w:space="0" w:color="auto"/>
        <w:bottom w:val="none" w:sz="0" w:space="0" w:color="auto"/>
        <w:right w:val="none" w:sz="0" w:space="0" w:color="auto"/>
      </w:divBdr>
    </w:div>
    <w:div w:id="1273051791">
      <w:bodyDiv w:val="1"/>
      <w:marLeft w:val="0"/>
      <w:marRight w:val="0"/>
      <w:marTop w:val="0"/>
      <w:marBottom w:val="0"/>
      <w:divBdr>
        <w:top w:val="none" w:sz="0" w:space="0" w:color="auto"/>
        <w:left w:val="none" w:sz="0" w:space="0" w:color="auto"/>
        <w:bottom w:val="none" w:sz="0" w:space="0" w:color="auto"/>
        <w:right w:val="none" w:sz="0" w:space="0" w:color="auto"/>
      </w:divBdr>
    </w:div>
    <w:div w:id="1278369229">
      <w:bodyDiv w:val="1"/>
      <w:marLeft w:val="0"/>
      <w:marRight w:val="0"/>
      <w:marTop w:val="0"/>
      <w:marBottom w:val="0"/>
      <w:divBdr>
        <w:top w:val="none" w:sz="0" w:space="0" w:color="auto"/>
        <w:left w:val="none" w:sz="0" w:space="0" w:color="auto"/>
        <w:bottom w:val="none" w:sz="0" w:space="0" w:color="auto"/>
        <w:right w:val="none" w:sz="0" w:space="0" w:color="auto"/>
      </w:divBdr>
    </w:div>
    <w:div w:id="1362129592">
      <w:bodyDiv w:val="1"/>
      <w:marLeft w:val="0"/>
      <w:marRight w:val="0"/>
      <w:marTop w:val="0"/>
      <w:marBottom w:val="0"/>
      <w:divBdr>
        <w:top w:val="none" w:sz="0" w:space="0" w:color="auto"/>
        <w:left w:val="none" w:sz="0" w:space="0" w:color="auto"/>
        <w:bottom w:val="none" w:sz="0" w:space="0" w:color="auto"/>
        <w:right w:val="none" w:sz="0" w:space="0" w:color="auto"/>
      </w:divBdr>
    </w:div>
    <w:div w:id="1386835325">
      <w:bodyDiv w:val="1"/>
      <w:marLeft w:val="0"/>
      <w:marRight w:val="0"/>
      <w:marTop w:val="0"/>
      <w:marBottom w:val="0"/>
      <w:divBdr>
        <w:top w:val="none" w:sz="0" w:space="0" w:color="auto"/>
        <w:left w:val="none" w:sz="0" w:space="0" w:color="auto"/>
        <w:bottom w:val="none" w:sz="0" w:space="0" w:color="auto"/>
        <w:right w:val="none" w:sz="0" w:space="0" w:color="auto"/>
      </w:divBdr>
    </w:div>
    <w:div w:id="1447698021">
      <w:bodyDiv w:val="1"/>
      <w:marLeft w:val="0"/>
      <w:marRight w:val="0"/>
      <w:marTop w:val="0"/>
      <w:marBottom w:val="0"/>
      <w:divBdr>
        <w:top w:val="none" w:sz="0" w:space="0" w:color="auto"/>
        <w:left w:val="none" w:sz="0" w:space="0" w:color="auto"/>
        <w:bottom w:val="none" w:sz="0" w:space="0" w:color="auto"/>
        <w:right w:val="none" w:sz="0" w:space="0" w:color="auto"/>
      </w:divBdr>
    </w:div>
    <w:div w:id="1511027160">
      <w:bodyDiv w:val="1"/>
      <w:marLeft w:val="0"/>
      <w:marRight w:val="0"/>
      <w:marTop w:val="0"/>
      <w:marBottom w:val="0"/>
      <w:divBdr>
        <w:top w:val="none" w:sz="0" w:space="0" w:color="auto"/>
        <w:left w:val="none" w:sz="0" w:space="0" w:color="auto"/>
        <w:bottom w:val="none" w:sz="0" w:space="0" w:color="auto"/>
        <w:right w:val="none" w:sz="0" w:space="0" w:color="auto"/>
      </w:divBdr>
    </w:div>
    <w:div w:id="1519347515">
      <w:bodyDiv w:val="1"/>
      <w:marLeft w:val="0"/>
      <w:marRight w:val="0"/>
      <w:marTop w:val="0"/>
      <w:marBottom w:val="0"/>
      <w:divBdr>
        <w:top w:val="none" w:sz="0" w:space="0" w:color="auto"/>
        <w:left w:val="none" w:sz="0" w:space="0" w:color="auto"/>
        <w:bottom w:val="none" w:sz="0" w:space="0" w:color="auto"/>
        <w:right w:val="none" w:sz="0" w:space="0" w:color="auto"/>
      </w:divBdr>
    </w:div>
    <w:div w:id="1537543974">
      <w:bodyDiv w:val="1"/>
      <w:marLeft w:val="0"/>
      <w:marRight w:val="0"/>
      <w:marTop w:val="0"/>
      <w:marBottom w:val="0"/>
      <w:divBdr>
        <w:top w:val="none" w:sz="0" w:space="0" w:color="auto"/>
        <w:left w:val="none" w:sz="0" w:space="0" w:color="auto"/>
        <w:bottom w:val="none" w:sz="0" w:space="0" w:color="auto"/>
        <w:right w:val="none" w:sz="0" w:space="0" w:color="auto"/>
      </w:divBdr>
    </w:div>
    <w:div w:id="1706055951">
      <w:bodyDiv w:val="1"/>
      <w:marLeft w:val="0"/>
      <w:marRight w:val="0"/>
      <w:marTop w:val="0"/>
      <w:marBottom w:val="0"/>
      <w:divBdr>
        <w:top w:val="none" w:sz="0" w:space="0" w:color="auto"/>
        <w:left w:val="none" w:sz="0" w:space="0" w:color="auto"/>
        <w:bottom w:val="none" w:sz="0" w:space="0" w:color="auto"/>
        <w:right w:val="none" w:sz="0" w:space="0" w:color="auto"/>
      </w:divBdr>
    </w:div>
    <w:div w:id="1771730016">
      <w:bodyDiv w:val="1"/>
      <w:marLeft w:val="0"/>
      <w:marRight w:val="0"/>
      <w:marTop w:val="0"/>
      <w:marBottom w:val="0"/>
      <w:divBdr>
        <w:top w:val="none" w:sz="0" w:space="0" w:color="auto"/>
        <w:left w:val="none" w:sz="0" w:space="0" w:color="auto"/>
        <w:bottom w:val="none" w:sz="0" w:space="0" w:color="auto"/>
        <w:right w:val="none" w:sz="0" w:space="0" w:color="auto"/>
      </w:divBdr>
    </w:div>
    <w:div w:id="1791514037">
      <w:bodyDiv w:val="1"/>
      <w:marLeft w:val="0"/>
      <w:marRight w:val="0"/>
      <w:marTop w:val="0"/>
      <w:marBottom w:val="0"/>
      <w:divBdr>
        <w:top w:val="none" w:sz="0" w:space="0" w:color="auto"/>
        <w:left w:val="none" w:sz="0" w:space="0" w:color="auto"/>
        <w:bottom w:val="none" w:sz="0" w:space="0" w:color="auto"/>
        <w:right w:val="none" w:sz="0" w:space="0" w:color="auto"/>
      </w:divBdr>
    </w:div>
    <w:div w:id="1819684611">
      <w:bodyDiv w:val="1"/>
      <w:marLeft w:val="0"/>
      <w:marRight w:val="0"/>
      <w:marTop w:val="0"/>
      <w:marBottom w:val="0"/>
      <w:divBdr>
        <w:top w:val="none" w:sz="0" w:space="0" w:color="auto"/>
        <w:left w:val="none" w:sz="0" w:space="0" w:color="auto"/>
        <w:bottom w:val="none" w:sz="0" w:space="0" w:color="auto"/>
        <w:right w:val="none" w:sz="0" w:space="0" w:color="auto"/>
      </w:divBdr>
    </w:div>
    <w:div w:id="1890451925">
      <w:bodyDiv w:val="1"/>
      <w:marLeft w:val="0"/>
      <w:marRight w:val="0"/>
      <w:marTop w:val="0"/>
      <w:marBottom w:val="0"/>
      <w:divBdr>
        <w:top w:val="none" w:sz="0" w:space="0" w:color="auto"/>
        <w:left w:val="none" w:sz="0" w:space="0" w:color="auto"/>
        <w:bottom w:val="none" w:sz="0" w:space="0" w:color="auto"/>
        <w:right w:val="none" w:sz="0" w:space="0" w:color="auto"/>
      </w:divBdr>
    </w:div>
    <w:div w:id="1912931969">
      <w:bodyDiv w:val="1"/>
      <w:marLeft w:val="0"/>
      <w:marRight w:val="0"/>
      <w:marTop w:val="0"/>
      <w:marBottom w:val="0"/>
      <w:divBdr>
        <w:top w:val="none" w:sz="0" w:space="0" w:color="auto"/>
        <w:left w:val="none" w:sz="0" w:space="0" w:color="auto"/>
        <w:bottom w:val="none" w:sz="0" w:space="0" w:color="auto"/>
        <w:right w:val="none" w:sz="0" w:space="0" w:color="auto"/>
      </w:divBdr>
    </w:div>
    <w:div w:id="1956593505">
      <w:bodyDiv w:val="1"/>
      <w:marLeft w:val="0"/>
      <w:marRight w:val="0"/>
      <w:marTop w:val="0"/>
      <w:marBottom w:val="0"/>
      <w:divBdr>
        <w:top w:val="none" w:sz="0" w:space="0" w:color="auto"/>
        <w:left w:val="none" w:sz="0" w:space="0" w:color="auto"/>
        <w:bottom w:val="none" w:sz="0" w:space="0" w:color="auto"/>
        <w:right w:val="none" w:sz="0" w:space="0" w:color="auto"/>
      </w:divBdr>
    </w:div>
    <w:div w:id="1959949182">
      <w:bodyDiv w:val="1"/>
      <w:marLeft w:val="0"/>
      <w:marRight w:val="0"/>
      <w:marTop w:val="0"/>
      <w:marBottom w:val="0"/>
      <w:divBdr>
        <w:top w:val="none" w:sz="0" w:space="0" w:color="auto"/>
        <w:left w:val="none" w:sz="0" w:space="0" w:color="auto"/>
        <w:bottom w:val="none" w:sz="0" w:space="0" w:color="auto"/>
        <w:right w:val="none" w:sz="0" w:space="0" w:color="auto"/>
      </w:divBdr>
    </w:div>
    <w:div w:id="1961184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cid:image003.png@01DC37A7.0664D5D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1A2339-7BAF-4BE4-A957-57CE7C8B8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Pages>
  <Words>1407</Words>
  <Characters>7744</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SOLER Patrick</dc:creator>
  <cp:lastModifiedBy>VIOLAS Valerie</cp:lastModifiedBy>
  <cp:revision>13</cp:revision>
  <cp:lastPrinted>2025-07-08T13:52:00Z</cp:lastPrinted>
  <dcterms:created xsi:type="dcterms:W3CDTF">2025-10-01T16:24:00Z</dcterms:created>
  <dcterms:modified xsi:type="dcterms:W3CDTF">2025-10-09T15:51:00Z</dcterms:modified>
</cp:coreProperties>
</file>